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30.01.2021 N 85</w:t>
              <w:br/>
              <w:t xml:space="preserve">(ред. от 04.12.2024)</w:t>
              <w:br/>
              <w:t xml:space="preserve">"Об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30 января 2021 г. N 85</w:t>
      </w:r>
    </w:p>
    <w:p>
      <w:pPr>
        <w:pStyle w:val="2"/>
        <w:jc w:val="center"/>
      </w:pPr>
      <w:r>
        <w:rPr>
          <w:sz w:val="24"/>
        </w:rPr>
      </w:r>
    </w:p>
    <w:p>
      <w:pPr>
        <w:pStyle w:val="2"/>
        <w:jc w:val="center"/>
      </w:pPr>
      <w:r>
        <w:rPr>
          <w:sz w:val="24"/>
        </w:rPr>
        <w:t xml:space="preserve">ОБ УТВЕРЖДЕНИИ ПРАВИЛ</w:t>
      </w:r>
    </w:p>
    <w:p>
      <w:pPr>
        <w:pStyle w:val="2"/>
        <w:jc w:val="center"/>
      </w:pPr>
      <w:r>
        <w:rPr>
          <w:sz w:val="24"/>
        </w:rPr>
        <w:t xml:space="preserve">ВЫДАЧИ РАЗРЕШЕНИЙ НА ДОПУСК В ЭКСПЛУАТАЦИЮ</w:t>
      </w:r>
    </w:p>
    <w:p>
      <w:pPr>
        <w:pStyle w:val="2"/>
        <w:jc w:val="center"/>
      </w:pPr>
      <w:r>
        <w:rPr>
          <w:sz w:val="24"/>
        </w:rPr>
        <w:t xml:space="preserve">ЭНЕРГОПРИНИМАЮЩИХ УСТАНОВОК ПОТРЕБИТЕЛЕЙ ЭЛЕКТРИЧЕСКОЙ</w:t>
      </w:r>
    </w:p>
    <w:p>
      <w:pPr>
        <w:pStyle w:val="2"/>
        <w:jc w:val="center"/>
      </w:pPr>
      <w:r>
        <w:rPr>
          <w:sz w:val="24"/>
        </w:rPr>
        <w:t xml:space="preserve">ЭНЕРГИИ, ОБЪЕКТОВ ПО ПРОИЗВОДСТВУ ЭЛЕКТРИЧЕСКОЙ ЭНЕРГИИ,</w:t>
      </w:r>
    </w:p>
    <w:p>
      <w:pPr>
        <w:pStyle w:val="2"/>
        <w:jc w:val="center"/>
      </w:pPr>
      <w:r>
        <w:rPr>
          <w:sz w:val="24"/>
        </w:rPr>
        <w:t xml:space="preserve">ОБЪЕКТОВ ЭЛЕКТРОСЕТЕВОГО ХОЗЯЙСТВА, ОБЪЕКТОВ ТЕПЛОСНАБЖЕНИЯ</w:t>
      </w:r>
    </w:p>
    <w:p>
      <w:pPr>
        <w:pStyle w:val="2"/>
        <w:jc w:val="center"/>
      </w:pPr>
      <w:r>
        <w:rPr>
          <w:sz w:val="24"/>
        </w:rPr>
        <w:t xml:space="preserve">И ТЕПЛОПОТРЕБЛЯЮЩИХ УСТАНОВОК И О ВНЕСЕНИИ ИЗМЕНЕНИЙ</w:t>
      </w:r>
    </w:p>
    <w:p>
      <w:pPr>
        <w:pStyle w:val="2"/>
        <w:jc w:val="center"/>
      </w:pPr>
      <w:r>
        <w:rPr>
          <w:sz w:val="24"/>
        </w:rPr>
        <w:t xml:space="preserve">В НЕКОТОРЫЕ АКТЫ 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22.10.2021 </w:t>
            </w:r>
            <w:hyperlink w:history="0" r:id="rId7"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quot; {КонсультантПлюс}">
              <w:r>
                <w:rPr>
                  <w:sz w:val="24"/>
                  <w:color w:val="0000ff"/>
                </w:rPr>
                <w:t xml:space="preserve">N 1813</w:t>
              </w:r>
            </w:hyperlink>
            <w:r>
              <w:rPr>
                <w:sz w:val="24"/>
                <w:color w:val="392c69"/>
              </w:rPr>
              <w:t xml:space="preserve">,</w:t>
            </w:r>
          </w:p>
          <w:p>
            <w:pPr>
              <w:pStyle w:val="0"/>
              <w:jc w:val="center"/>
            </w:pPr>
            <w:r>
              <w:rPr>
                <w:sz w:val="24"/>
                <w:color w:val="392c69"/>
              </w:rPr>
              <w:t xml:space="preserve">от 30.11.2021 </w:t>
            </w:r>
            <w:hyperlink w:history="0" r:id="rId8"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4"/>
                  <w:color w:val="0000ff"/>
                </w:rPr>
                <w:t xml:space="preserve">N 2115</w:t>
              </w:r>
            </w:hyperlink>
            <w:r>
              <w:rPr>
                <w:sz w:val="24"/>
                <w:color w:val="392c69"/>
              </w:rPr>
              <w:t xml:space="preserve">, от 25.12.2021 </w:t>
            </w:r>
            <w:hyperlink w:history="0" r:id="rId9" w:tooltip="Постановление Правительства РФ от 25.12.2021 N 2490 (ред. от 25.12.2023) &quo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 ------------ Утратил силу или отменен {КонсультантПлюс}">
              <w:r>
                <w:rPr>
                  <w:sz w:val="24"/>
                  <w:color w:val="0000ff"/>
                </w:rPr>
                <w:t xml:space="preserve">N 2490</w:t>
              </w:r>
            </w:hyperlink>
            <w:r>
              <w:rPr>
                <w:sz w:val="24"/>
                <w:color w:val="392c69"/>
              </w:rPr>
              <w:t xml:space="preserve">, от 03.02.2023 </w:t>
            </w:r>
            <w:hyperlink w:history="0" r:id="rId10" w:tooltip="Постановление Правительства РФ от 03.02.2023 N 159 (ред. от 20.10.202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4"/>
                  <w:color w:val="0000ff"/>
                </w:rPr>
                <w:t xml:space="preserve">N 159</w:t>
              </w:r>
            </w:hyperlink>
            <w:r>
              <w:rPr>
                <w:sz w:val="24"/>
                <w:color w:val="392c69"/>
              </w:rPr>
              <w:t xml:space="preserve">,</w:t>
            </w:r>
          </w:p>
          <w:p>
            <w:pPr>
              <w:pStyle w:val="0"/>
              <w:jc w:val="center"/>
            </w:pPr>
            <w:r>
              <w:rPr>
                <w:sz w:val="24"/>
                <w:color w:val="392c69"/>
              </w:rPr>
              <w:t xml:space="preserve">от 04.12.2024 </w:t>
            </w:r>
            <w:hyperlink w:history="0" r:id="rId11"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N 1711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В соответствии с федеральными законами </w:t>
      </w:r>
      <w:hyperlink w:history="0" r:id="rId12"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"Об электроэнергетике"</w:t>
        </w:r>
      </w:hyperlink>
      <w:r>
        <w:rPr>
          <w:sz w:val="24"/>
        </w:rPr>
        <w:t xml:space="preserve"> и </w:t>
      </w:r>
      <w:hyperlink w:history="0" r:id="rId13" w:tooltip="Федеральный закон от 27.07.2010 N 190-ФЗ (ред. от 08.08.2024) &quot;О теплоснабжении&quot; (с изм. и доп., вступ. в силу с 01.03.2025) {КонсультантПлюс}">
        <w:r>
          <w:rPr>
            <w:sz w:val="24"/>
            <w:color w:val="0000ff"/>
          </w:rPr>
          <w:t xml:space="preserve">"О теплоснабжении"</w:t>
        </w:r>
      </w:hyperlink>
      <w:r>
        <w:rPr>
          <w:sz w:val="24"/>
        </w:rPr>
        <w:t xml:space="preserve"> Правительство Российской Федерации постановляет:</w:t>
      </w:r>
    </w:p>
    <w:p>
      <w:pPr>
        <w:pStyle w:val="0"/>
        <w:spacing w:before="240" w:line-rule="auto"/>
        <w:ind w:firstLine="540"/>
        <w:jc w:val="both"/>
      </w:pPr>
      <w:r>
        <w:rPr>
          <w:sz w:val="24"/>
        </w:rPr>
        <w:t xml:space="preserve">1. Утвердить прилагаемые:</w:t>
      </w:r>
    </w:p>
    <w:p>
      <w:pPr>
        <w:pStyle w:val="0"/>
        <w:spacing w:before="240" w:line-rule="auto"/>
        <w:ind w:firstLine="540"/>
        <w:jc w:val="both"/>
      </w:pPr>
      <w:hyperlink w:history="0" w:anchor="P39" w:tooltip="ПРАВИЛА">
        <w:r>
          <w:rPr>
            <w:sz w:val="24"/>
            <w:color w:val="0000ff"/>
          </w:rPr>
          <w:t xml:space="preserve">Правила</w:t>
        </w:r>
      </w:hyperlink>
      <w:r>
        <w:rPr>
          <w:sz w:val="24"/>
        </w:rPr>
        <w:t xml:space="preserve">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(далее - Правила);</w:t>
      </w:r>
    </w:p>
    <w:p>
      <w:pPr>
        <w:pStyle w:val="0"/>
        <w:spacing w:before="240" w:line-rule="auto"/>
        <w:ind w:firstLine="540"/>
        <w:jc w:val="both"/>
      </w:pPr>
      <w:hyperlink w:history="0" w:anchor="P729" w:tooltip="ИЗМЕНЕНИЯ,">
        <w:r>
          <w:rPr>
            <w:sz w:val="24"/>
            <w:color w:val="0000ff"/>
          </w:rPr>
          <w:t xml:space="preserve">изменения</w:t>
        </w:r>
      </w:hyperlink>
      <w:r>
        <w:rPr>
          <w:sz w:val="24"/>
        </w:rPr>
        <w:t xml:space="preserve">, которые вносятся в акты Правительства Российской Федерации.</w:t>
      </w:r>
    </w:p>
    <w:p>
      <w:pPr>
        <w:pStyle w:val="0"/>
        <w:spacing w:before="240" w:line-rule="auto"/>
        <w:ind w:firstLine="540"/>
        <w:jc w:val="both"/>
      </w:pPr>
      <w:r>
        <w:rPr>
          <w:sz w:val="24"/>
        </w:rPr>
        <w:t xml:space="preserve">2.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p>
    <w:p>
      <w:pPr>
        <w:pStyle w:val="0"/>
        <w:spacing w:before="240" w:line-rule="auto"/>
        <w:ind w:firstLine="540"/>
        <w:jc w:val="both"/>
      </w:pPr>
      <w:r>
        <w:rPr>
          <w:sz w:val="24"/>
        </w:rPr>
        <w:t xml:space="preserve">3. Установить, что </w:t>
      </w:r>
      <w:hyperlink w:history="0" w:anchor="P39" w:tooltip="ПРАВИЛА">
        <w:r>
          <w:rPr>
            <w:sz w:val="24"/>
            <w:color w:val="0000ff"/>
          </w:rPr>
          <w:t xml:space="preserve">Правила</w:t>
        </w:r>
      </w:hyperlink>
      <w:r>
        <w:rPr>
          <w:sz w:val="24"/>
        </w:rPr>
        <w:t xml:space="preserve"> применяются при выдаче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по заявлениям, поданным в уполномоченный орган исполнительной власти после 1 февраля 2021 г.</w:t>
      </w:r>
    </w:p>
    <w:p>
      <w:pPr>
        <w:pStyle w:val="0"/>
        <w:spacing w:before="240" w:line-rule="auto"/>
        <w:ind w:firstLine="540"/>
        <w:jc w:val="both"/>
      </w:pPr>
      <w:r>
        <w:rPr>
          <w:sz w:val="24"/>
        </w:rPr>
        <w:t xml:space="preserve">4. Настоящее постановление вступает в силу со дня его официального опубликования, за исключением положений </w:t>
      </w:r>
      <w:hyperlink w:history="0" w:anchor="P85" w:tooltip="в виде электронного документа (за исключением случаев, указанных в абзаце втором пункта 7 настоящих Правил) посредством федеральной государственной информационной системы &quot;Единый портал государственных и муниципальных услуг (функций)&quot; (далее - единый портал), подписанного 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
        <w:r>
          <w:rPr>
            <w:sz w:val="24"/>
            <w:color w:val="0000ff"/>
          </w:rPr>
          <w:t xml:space="preserve">абзаца третьего пункта 12</w:t>
        </w:r>
      </w:hyperlink>
      <w:r>
        <w:rPr>
          <w:sz w:val="24"/>
        </w:rPr>
        <w:t xml:space="preserve">, </w:t>
      </w:r>
      <w:hyperlink w:history="0" w:anchor="P202" w:tooltip="22. В случае подачи заявления о выдаче разрешения на допуск посредством единого портала уведомление с информацией об оставлении заявления о выдаче разрешения на допуск без рассмотрения либо о приеме указанного заявления к рассмотрению в соответствии с пунктом 21 настоящих Правил направляется заявителю в виде электронного документа, подписанного квалифицированной электронной подписью, в личный кабинет единого портала.">
        <w:r>
          <w:rPr>
            <w:sz w:val="24"/>
            <w:color w:val="0000ff"/>
          </w:rPr>
          <w:t xml:space="preserve">пункта 22</w:t>
        </w:r>
      </w:hyperlink>
      <w:r>
        <w:rPr>
          <w:sz w:val="24"/>
        </w:rPr>
        <w:t xml:space="preserve">, </w:t>
      </w:r>
      <w:hyperlink w:history="0" w:anchor="P211" w:tooltip="В случае если заявителем в соответствии с абзацем вторым пункта 22 настоящих Правил была выбрана более поздняя дата осмотра, сроки рассмотрения заявления о выдаче разрешения на допуск, установленные абзацем первым настоящего пункта, увеличиваются на соответствующий период.">
        <w:r>
          <w:rPr>
            <w:sz w:val="24"/>
            <w:color w:val="0000ff"/>
          </w:rPr>
          <w:t xml:space="preserve">абзаца четвертого пункта 23</w:t>
        </w:r>
      </w:hyperlink>
      <w:r>
        <w:rPr>
          <w:sz w:val="24"/>
        </w:rPr>
        <w:t xml:space="preserve">, </w:t>
      </w:r>
      <w:hyperlink w:history="0" w:anchor="P241" w:tooltip="29. Уведомление о внесении сведений в реестр (уведомление об отказе в выдаче разрешения на допуск) направляется заявителю в виде электронного документа с использованием информационно-телекоммуникационной сети &quot;Интернет&quot;, в том числе посредством единого портала, или в форме документа на бумажном носителе по выбору заявителя, за исключением случаев, указанных в абзаце втором пункта 2 настоящих Правил.">
        <w:r>
          <w:rPr>
            <w:sz w:val="24"/>
            <w:color w:val="0000ff"/>
          </w:rPr>
          <w:t xml:space="preserve">абзаца второго пункта 29</w:t>
        </w:r>
      </w:hyperlink>
      <w:r>
        <w:rPr>
          <w:sz w:val="24"/>
        </w:rPr>
        <w:t xml:space="preserve"> и </w:t>
      </w:r>
      <w:hyperlink w:history="0" w:anchor="P255" w:tooltip="32. Утратил силу с 1 марта 2025 года. - Постановление Правительства РФ от 04.12.2024 N 1711.">
        <w:r>
          <w:rPr>
            <w:sz w:val="24"/>
            <w:color w:val="0000ff"/>
          </w:rPr>
          <w:t xml:space="preserve">пунктов 32</w:t>
        </w:r>
      </w:hyperlink>
      <w:r>
        <w:rPr>
          <w:sz w:val="24"/>
        </w:rPr>
        <w:t xml:space="preserve"> - </w:t>
      </w:r>
      <w:hyperlink w:history="0" w:anchor="P271" w:tooltip="34. Утратил силу с 1 марта 2025 года. - Постановление Правительства РФ от 04.12.2024 N 1711.">
        <w:r>
          <w:rPr>
            <w:sz w:val="24"/>
            <w:color w:val="0000ff"/>
          </w:rPr>
          <w:t xml:space="preserve">34</w:t>
        </w:r>
      </w:hyperlink>
      <w:r>
        <w:rPr>
          <w:sz w:val="24"/>
        </w:rPr>
        <w:t xml:space="preserve"> Правил, которые вступают в силу с 1 января 2022 г., и действует до 1 января 2027 г.</w:t>
      </w:r>
    </w:p>
    <w:p>
      <w:pPr>
        <w:pStyle w:val="0"/>
        <w:jc w:val="both"/>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М.МИШУСТИН</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30 января 2021 г. N 85</w:t>
      </w:r>
    </w:p>
    <w:p>
      <w:pPr>
        <w:pStyle w:val="0"/>
        <w:jc w:val="both"/>
      </w:pPr>
      <w:r>
        <w:rPr>
          <w:sz w:val="24"/>
        </w:rPr>
      </w:r>
    </w:p>
    <w:bookmarkStart w:id="39" w:name="P39"/>
    <w:bookmarkEnd w:id="39"/>
    <w:p>
      <w:pPr>
        <w:pStyle w:val="2"/>
        <w:jc w:val="center"/>
      </w:pPr>
      <w:r>
        <w:rPr>
          <w:sz w:val="24"/>
        </w:rPr>
        <w:t xml:space="preserve">ПРАВИЛА</w:t>
      </w:r>
    </w:p>
    <w:p>
      <w:pPr>
        <w:pStyle w:val="2"/>
        <w:jc w:val="center"/>
      </w:pPr>
      <w:r>
        <w:rPr>
          <w:sz w:val="24"/>
        </w:rPr>
        <w:t xml:space="preserve">ВЫДАЧИ РАЗРЕШЕНИЙ НА ДОПУСК В ЭКСПЛУАТАЦИЮ</w:t>
      </w:r>
    </w:p>
    <w:p>
      <w:pPr>
        <w:pStyle w:val="2"/>
        <w:jc w:val="center"/>
      </w:pPr>
      <w:r>
        <w:rPr>
          <w:sz w:val="24"/>
        </w:rPr>
        <w:t xml:space="preserve">ЭНЕРГОПРИНИМАЮЩИХ УСТАНОВОК ПОТРЕБИТЕЛЕЙ ЭЛЕКТРИЧЕСКОЙ</w:t>
      </w:r>
    </w:p>
    <w:p>
      <w:pPr>
        <w:pStyle w:val="2"/>
        <w:jc w:val="center"/>
      </w:pPr>
      <w:r>
        <w:rPr>
          <w:sz w:val="24"/>
        </w:rPr>
        <w:t xml:space="preserve">ЭНЕРГИИ, ОБЪЕКТОВ ПО ПРОИЗВОДСТВУ ЭЛЕКТРИЧЕСКОЙ ЭНЕРГИИ,</w:t>
      </w:r>
    </w:p>
    <w:p>
      <w:pPr>
        <w:pStyle w:val="2"/>
        <w:jc w:val="center"/>
      </w:pPr>
      <w:r>
        <w:rPr>
          <w:sz w:val="24"/>
        </w:rPr>
        <w:t xml:space="preserve">ОБЪЕКТОВ ЭЛЕКТРОСЕТЕВОГО ХОЗЯЙСТВА, ОБЪЕКТОВ ТЕПЛОСНАБЖЕНИЯ</w:t>
      </w:r>
    </w:p>
    <w:p>
      <w:pPr>
        <w:pStyle w:val="2"/>
        <w:jc w:val="center"/>
      </w:pPr>
      <w:r>
        <w:rPr>
          <w:sz w:val="24"/>
        </w:rPr>
        <w:t xml:space="preserve">И ТЕПЛОПОТРЕБЛЯЮЩИХ УСТАНОВОК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22.10.2021 </w:t>
            </w:r>
            <w:hyperlink w:history="0" r:id="rId14"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quot; {КонсультантПлюс}">
              <w:r>
                <w:rPr>
                  <w:sz w:val="24"/>
                  <w:color w:val="0000ff"/>
                </w:rPr>
                <w:t xml:space="preserve">N 1813</w:t>
              </w:r>
            </w:hyperlink>
            <w:r>
              <w:rPr>
                <w:sz w:val="24"/>
                <w:color w:val="392c69"/>
              </w:rPr>
              <w:t xml:space="preserve">,</w:t>
            </w:r>
          </w:p>
          <w:p>
            <w:pPr>
              <w:pStyle w:val="0"/>
              <w:jc w:val="center"/>
            </w:pPr>
            <w:r>
              <w:rPr>
                <w:sz w:val="24"/>
                <w:color w:val="392c69"/>
              </w:rPr>
              <w:t xml:space="preserve">от 03.02.2023 </w:t>
            </w:r>
            <w:hyperlink w:history="0" r:id="rId15" w:tooltip="Постановление Правительства РФ от 03.02.2023 N 159 (ред. от 20.10.202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4"/>
                  <w:color w:val="0000ff"/>
                </w:rPr>
                <w:t xml:space="preserve">N 159</w:t>
              </w:r>
            </w:hyperlink>
            <w:r>
              <w:rPr>
                <w:sz w:val="24"/>
                <w:color w:val="392c69"/>
              </w:rPr>
              <w:t xml:space="preserve">, от 04.12.2024 </w:t>
            </w:r>
            <w:hyperlink w:history="0" r:id="rId16"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N 1711</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Настоящие Правила устанавливают:</w:t>
      </w:r>
    </w:p>
    <w:p>
      <w:pPr>
        <w:pStyle w:val="0"/>
        <w:spacing w:before="240" w:line-rule="auto"/>
        <w:ind w:firstLine="540"/>
        <w:jc w:val="both"/>
      </w:pPr>
      <w:r>
        <w:rPr>
          <w:sz w:val="24"/>
        </w:rPr>
        <w:t xml:space="preserve">а) категории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теплопотребляющих установок (далее - допускаемые объекты), для которых требуется получение разрешения на допуск в эксплуатацию (далее - разрешение на допуск);</w:t>
      </w:r>
    </w:p>
    <w:p>
      <w:pPr>
        <w:pStyle w:val="0"/>
        <w:spacing w:before="240" w:line-rule="auto"/>
        <w:ind w:firstLine="540"/>
        <w:jc w:val="both"/>
      </w:pPr>
      <w:r>
        <w:rPr>
          <w:sz w:val="24"/>
        </w:rPr>
        <w:t xml:space="preserve">б) порядок, случаи и условия выдачи разрешения на допуск.</w:t>
      </w:r>
    </w:p>
    <w:p>
      <w:pPr>
        <w:pStyle w:val="0"/>
        <w:spacing w:before="240" w:line-rule="auto"/>
        <w:ind w:firstLine="540"/>
        <w:jc w:val="both"/>
      </w:pPr>
      <w:r>
        <w:rPr>
          <w:sz w:val="24"/>
        </w:rPr>
        <w:t xml:space="preserve">2. Разрешением на допуск является запись в реестре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(далее - реестр), которая удостоверяет соответствие допускаемого объекта и условий его эксплуатации требованиям, установленным нормативными правовыми актами, предусмотренными </w:t>
      </w:r>
      <w:hyperlink w:history="0"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третьим, четвертым, шестым и седьмым пункта 2 статьи 28 Федерального закона &quot;Об электроэнергетике&quot;, и требованиям безопасности в сфере теплоснабжения, установленным в соответствии с пунктами 1 и 2 статьи 23.2 Федерального закона &quot;О теплоснабжении&quot;.">
        <w:r>
          <w:rPr>
            <w:sz w:val="24"/>
            <w:color w:val="0000ff"/>
          </w:rPr>
          <w:t xml:space="preserve">пунктом 24</w:t>
        </w:r>
      </w:hyperlink>
      <w:r>
        <w:rPr>
          <w:sz w:val="24"/>
        </w:rPr>
        <w:t xml:space="preserve"> настоящих Правил, предъявляемым на этапе эксплуатации допускаемого объекта.</w:t>
      </w:r>
    </w:p>
    <w:bookmarkStart w:id="53" w:name="P53"/>
    <w:bookmarkEnd w:id="53"/>
    <w:p>
      <w:pPr>
        <w:pStyle w:val="0"/>
        <w:spacing w:before="240" w:line-rule="auto"/>
        <w:ind w:firstLine="540"/>
        <w:jc w:val="both"/>
      </w:pPr>
      <w:r>
        <w:rPr>
          <w:sz w:val="24"/>
        </w:rPr>
        <w:t xml:space="preserve">В случаях если федеральными органами исполнительной власти, уполномоченными на осуществление федерального государственного энергетического надзора (далее - органы федерального государственного энергетического надзора), являются Служба внешней разведки Российской Федерации, Федеральная служба охраны Российской Федерации, Федеральная служба безопасности Российской Федерации, Главное управление специальных программ Президента Российской Федерации и Министерство обороны Российской Федерации, разрешение на допуск представляет собой документ, который удостоверяет соответствие допускаемого объекта и условий его эксплуатации требованиям, установленным нормативными правовыми актами, предусмотренными </w:t>
      </w:r>
      <w:hyperlink w:history="0"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третьим, четвертым, шестым и седьмым пункта 2 статьи 28 Федерального закона &quot;Об электроэнергетике&quot;, и требованиям безопасности в сфере теплоснабжения, установленным в соответствии с пунктами 1 и 2 статьи 23.2 Федерального закона &quot;О теплоснабжении&quot;.">
        <w:r>
          <w:rPr>
            <w:sz w:val="24"/>
            <w:color w:val="0000ff"/>
          </w:rPr>
          <w:t xml:space="preserve">пунктом 24</w:t>
        </w:r>
      </w:hyperlink>
      <w:r>
        <w:rPr>
          <w:sz w:val="24"/>
        </w:rPr>
        <w:t xml:space="preserve"> настоящих Правил, предъявляемым на этапе эксплуатации допускаемого объекта.</w:t>
      </w:r>
    </w:p>
    <w:p>
      <w:pPr>
        <w:pStyle w:val="0"/>
        <w:spacing w:before="240" w:line-rule="auto"/>
        <w:ind w:firstLine="540"/>
        <w:jc w:val="both"/>
      </w:pPr>
      <w:r>
        <w:rPr>
          <w:sz w:val="24"/>
        </w:rPr>
        <w:t xml:space="preserve">В настоящих Правилах под условиями эксплуатации допускаемого объекта понимаются состояние оборудования, зданий и сооружений, уровень подготовленности персонала, обеспечивающие безопасность работ на этапе эксплуатации допускаемого объекта согласно требованиям, установленным нормативными правовыми актами, предусмотренными </w:t>
      </w:r>
      <w:hyperlink w:history="0"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третьим, четвертым, шестым и седьмым пункта 2 статьи 28 Федерального закона &quot;Об электроэнергетике&quot;, и требованиям безопасности в сфере теплоснабжения, установленным в соответствии с пунктами 1 и 2 статьи 23.2 Федерального закона &quot;О теплоснабжении&quot;.">
        <w:r>
          <w:rPr>
            <w:sz w:val="24"/>
            <w:color w:val="0000ff"/>
          </w:rPr>
          <w:t xml:space="preserve">пунктом 24</w:t>
        </w:r>
      </w:hyperlink>
      <w:r>
        <w:rPr>
          <w:sz w:val="24"/>
        </w:rPr>
        <w:t xml:space="preserve"> настоящих Правил.</w:t>
      </w:r>
    </w:p>
    <w:p>
      <w:pPr>
        <w:pStyle w:val="0"/>
        <w:jc w:val="both"/>
      </w:pPr>
      <w:r>
        <w:rPr>
          <w:sz w:val="24"/>
        </w:rPr>
        <w:t xml:space="preserve">(п. 2 в ред. </w:t>
      </w:r>
      <w:hyperlink w:history="0" r:id="rId17"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3. Разрешение на допуск требуется для допускаемых объектов следующих категорий и в следующих случаях:</w:t>
      </w:r>
    </w:p>
    <w:bookmarkStart w:id="57" w:name="P57"/>
    <w:bookmarkEnd w:id="57"/>
    <w:p>
      <w:pPr>
        <w:pStyle w:val="0"/>
        <w:spacing w:before="240" w:line-rule="auto"/>
        <w:ind w:firstLine="540"/>
        <w:jc w:val="both"/>
      </w:pPr>
      <w:r>
        <w:rPr>
          <w:sz w:val="24"/>
        </w:rPr>
        <w:t xml:space="preserve">а) для объектов по производству электрической энергии (в том числе по производству в режиме комбинированной выработки электрической и тепловой энергии), объектов электросетевого хозяйства и энергопринимающих установок потребителей электрической энергии (далее - энергопринимающие установки) - в случаях, предусмотренных </w:t>
      </w:r>
      <w:hyperlink w:history="0" r:id="rId18"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Правилами</w:t>
        </w:r>
      </w:hyperlink>
      <w:r>
        <w:rPr>
          <w:sz w:val="24"/>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технологического присоединения к электрическим сетям);</w:t>
      </w:r>
    </w:p>
    <w:p>
      <w:pPr>
        <w:pStyle w:val="0"/>
        <w:spacing w:before="240" w:line-rule="auto"/>
        <w:ind w:firstLine="540"/>
        <w:jc w:val="both"/>
      </w:pPr>
      <w:r>
        <w:rPr>
          <w:sz w:val="24"/>
        </w:rPr>
        <w:t xml:space="preserve">б) для объектов теплоснабжения (источников тепловой энергии, тепловых сетей) и (или) теплопотребляющих установок - в случаях, предусмотренных </w:t>
      </w:r>
      <w:hyperlink w:history="0" r:id="rId19" w:tooltip="Постановление Правительства РФ от 05.07.2018 N 787 (ред. от 30.11.2021) &quot;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quot; {КонсультантПлюс}">
        <w:r>
          <w:rPr>
            <w:sz w:val="24"/>
            <w:color w:val="0000ff"/>
          </w:rPr>
          <w:t xml:space="preserve">Правилами</w:t>
        </w:r>
      </w:hyperlink>
      <w:r>
        <w:rPr>
          <w:sz w:val="24"/>
        </w:rP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утвержденными постановлением Правительства Российской Федерации от 5 июля 2018 г. N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w:t>
      </w:r>
    </w:p>
    <w:bookmarkStart w:id="59" w:name="P59"/>
    <w:bookmarkEnd w:id="59"/>
    <w:p>
      <w:pPr>
        <w:pStyle w:val="0"/>
        <w:spacing w:before="240" w:line-rule="auto"/>
        <w:ind w:firstLine="540"/>
        <w:jc w:val="both"/>
      </w:pPr>
      <w:r>
        <w:rPr>
          <w:sz w:val="24"/>
        </w:rPr>
        <w:t xml:space="preserve">в) для вновь вводимых в эксплуатацию или реконструированных объектов по производству электрической энергии (в том числе по производству в режиме комбинированной выработки электрической и тепловой энергии), объектов электросетевого хозяйства и энергопринимающих установок, объектов теплоснабжения, теплопотребляющих установок, технологическое присоединение которых не осуществляется, - в случае если их параметры (характеристики) идентичны параметрам объектов и установок, для которых получение разрешений на допуск предусмотрено </w:t>
      </w:r>
      <w:hyperlink w:history="0" r:id="rId20"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Правилами</w:t>
        </w:r>
      </w:hyperlink>
      <w:r>
        <w:rPr>
          <w:sz w:val="24"/>
        </w:rPr>
        <w:t xml:space="preserve"> технологического присоединения к электрическим сетям и </w:t>
      </w:r>
      <w:hyperlink w:history="0" r:id="rId21" w:tooltip="Постановление Правительства РФ от 08.08.2012 N 808 (ред. от 17.10.2024) &quot;Об организации теплоснабжения в Российской Федерации и о внесении изменений в некоторые акты Правительства Российской Федерации&quot; (вместе с &quot;Правилами организации теплоснабжения в Российской Федерации&quot;) {КонсультантПлюс}">
        <w:r>
          <w:rPr>
            <w:sz w:val="24"/>
            <w:color w:val="0000ff"/>
          </w:rPr>
          <w:t xml:space="preserve">Правилами</w:t>
        </w:r>
      </w:hyperlink>
      <w:r>
        <w:rPr>
          <w:sz w:val="24"/>
        </w:rPr>
        <w:t xml:space="preserve"> организации теплоснабжения в Российской Федерации, утвержденными постановлением Правительства Российской Федерации от 8 августа 2012 г. N 808 "Об организации теплоснабжения в Российской Федерации и о внесении изменений в некоторые акты Правительства Российской Федерации", соответственно;</w:t>
      </w:r>
    </w:p>
    <w:p>
      <w:pPr>
        <w:pStyle w:val="0"/>
        <w:spacing w:before="240" w:line-rule="auto"/>
        <w:ind w:firstLine="540"/>
        <w:jc w:val="both"/>
      </w:pPr>
      <w:r>
        <w:rPr>
          <w:sz w:val="24"/>
        </w:rPr>
        <w:t xml:space="preserve">г) для энергопринимающих установок, предназначенных для производства испытаний электрооборудования повышенным напряжением, - в случаях ввода в эксплуатацию новой установки или реконструкции электрооборудования ранее введенной в эксплуатацию установки.</w:t>
      </w:r>
    </w:p>
    <w:p>
      <w:pPr>
        <w:pStyle w:val="0"/>
        <w:spacing w:before="240" w:line-rule="auto"/>
        <w:ind w:firstLine="540"/>
        <w:jc w:val="both"/>
      </w:pPr>
      <w:r>
        <w:rPr>
          <w:sz w:val="24"/>
        </w:rPr>
        <w:t xml:space="preserve">4. В отношении объектов и установок, указанных в </w:t>
      </w:r>
      <w:hyperlink w:history="0" w:anchor="P57" w:tooltip="а) для объектов по производству электрической энергии (в том числе по производству в режиме комбинированной выработки электрической и тепловой энергии), объектов электросетевого хозяйства и энергопринимающих установок потребителей электрической энергии (далее - энергопринимающие установки) - в случаях, предусмотр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
        <w:r>
          <w:rPr>
            <w:sz w:val="24"/>
            <w:color w:val="0000ff"/>
          </w:rPr>
          <w:t xml:space="preserve">подпунктах "а"</w:t>
        </w:r>
      </w:hyperlink>
      <w:r>
        <w:rPr>
          <w:sz w:val="24"/>
        </w:rPr>
        <w:t xml:space="preserve"> - </w:t>
      </w:r>
      <w:hyperlink w:history="0" w:anchor="P59" w:tooltip="в) для вновь вводимых в эксплуатацию или реконструированных объектов по производству электрической энергии (в том числе по производству в режиме комбинированной выработки электрической и тепловой энергии), объектов электросетевого хозяйства и энергопринимающих установок, объектов теплоснабжения, теплопотребляющих установок, технологическое присоединение которых не осуществляется, - в случае если их параметры (характеристики) идентичны параметрам объектов и установок, для которых получение разрешений на д...">
        <w:r>
          <w:rPr>
            <w:sz w:val="24"/>
            <w:color w:val="0000ff"/>
          </w:rPr>
          <w:t xml:space="preserve">"в" пункта 3</w:t>
        </w:r>
      </w:hyperlink>
      <w:r>
        <w:rPr>
          <w:sz w:val="24"/>
        </w:rPr>
        <w:t xml:space="preserve"> настоящих Правил, на время проведения испытаний и пусконаладочных работ выдается временное разрешение на допуск в эксплуатацию (далее - временное разрешение).</w:t>
      </w:r>
    </w:p>
    <w:p>
      <w:pPr>
        <w:pStyle w:val="0"/>
        <w:spacing w:before="240" w:line-rule="auto"/>
        <w:ind w:firstLine="540"/>
        <w:jc w:val="both"/>
      </w:pPr>
      <w:r>
        <w:rPr>
          <w:sz w:val="24"/>
        </w:rPr>
        <w:t xml:space="preserve">5. Получение разрешения на допуск не требуется для:</w:t>
      </w:r>
    </w:p>
    <w:p>
      <w:pPr>
        <w:pStyle w:val="0"/>
        <w:spacing w:before="240" w:line-rule="auto"/>
        <w:ind w:firstLine="540"/>
        <w:jc w:val="both"/>
      </w:pPr>
      <w:r>
        <w:rPr>
          <w:sz w:val="24"/>
        </w:rPr>
        <w:t xml:space="preserve">энергопринимающих установок, ввод в эксплуатацию которых осуществляется в уведомительном порядке согласно </w:t>
      </w:r>
      <w:hyperlink w:history="0" r:id="rId22"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пунктам 18(1)</w:t>
        </w:r>
      </w:hyperlink>
      <w:r>
        <w:rPr>
          <w:sz w:val="24"/>
        </w:rPr>
        <w:t xml:space="preserve"> - </w:t>
      </w:r>
      <w:hyperlink w:history="0" r:id="rId23"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18(4)</w:t>
        </w:r>
      </w:hyperlink>
      <w:r>
        <w:rPr>
          <w:sz w:val="24"/>
        </w:rPr>
        <w:t xml:space="preserve"> Правил технологического присоединения к электрическим сетям;</w:t>
      </w:r>
    </w:p>
    <w:p>
      <w:pPr>
        <w:pStyle w:val="0"/>
        <w:spacing w:before="240" w:line-rule="auto"/>
        <w:ind w:firstLine="540"/>
        <w:jc w:val="both"/>
      </w:pPr>
      <w:r>
        <w:rPr>
          <w:sz w:val="24"/>
        </w:rPr>
        <w:t xml:space="preserve">оборудования, работающего под избыточным давлением, ввод в эксплуатацию которого осуществляется в соответствии с законодательством в области промышленной безопасности.</w:t>
      </w:r>
    </w:p>
    <w:p>
      <w:pPr>
        <w:pStyle w:val="0"/>
        <w:jc w:val="both"/>
      </w:pPr>
      <w:r>
        <w:rPr>
          <w:sz w:val="24"/>
        </w:rPr>
        <w:t xml:space="preserve">(п. 5 в ред. </w:t>
      </w:r>
      <w:hyperlink w:history="0" r:id="rId24"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quot; {КонсультантПлюс}">
        <w:r>
          <w:rPr>
            <w:sz w:val="24"/>
            <w:color w:val="0000ff"/>
          </w:rPr>
          <w:t xml:space="preserve">Постановления</w:t>
        </w:r>
      </w:hyperlink>
      <w:r>
        <w:rPr>
          <w:sz w:val="24"/>
        </w:rPr>
        <w:t xml:space="preserve"> Правительства РФ от 22.10.2021 N 1813)</w:t>
      </w:r>
    </w:p>
    <w:p>
      <w:pPr>
        <w:pStyle w:val="0"/>
        <w:spacing w:before="240" w:line-rule="auto"/>
        <w:ind w:firstLine="540"/>
        <w:jc w:val="both"/>
      </w:pPr>
      <w:r>
        <w:rPr>
          <w:sz w:val="24"/>
        </w:rPr>
        <w:t xml:space="preserve">6. Временное разрешение выдается для проведения:</w:t>
      </w:r>
    </w:p>
    <w:p>
      <w:pPr>
        <w:pStyle w:val="0"/>
        <w:spacing w:before="240" w:line-rule="auto"/>
        <w:ind w:firstLine="540"/>
        <w:jc w:val="both"/>
      </w:pPr>
      <w:r>
        <w:rPr>
          <w:sz w:val="24"/>
        </w:rPr>
        <w:t xml:space="preserve">пробных пусков и комплексных испытаний, включая комплексное опробование, генерирующего оборудования объектов по производству электрической энергии (в том числе функционирующих в режиме комбинированной выработки электрической и тепловой энергии);</w:t>
      </w:r>
    </w:p>
    <w:p>
      <w:pPr>
        <w:pStyle w:val="0"/>
        <w:spacing w:before="240" w:line-rule="auto"/>
        <w:ind w:firstLine="540"/>
        <w:jc w:val="both"/>
      </w:pPr>
      <w:r>
        <w:rPr>
          <w:sz w:val="24"/>
        </w:rPr>
        <w:t xml:space="preserve">комплексного опробования, иных испытаний и пусконаладочных работ в отношении допускаемых объектов, предусматривающих включение таких объектов в работу в составе энергосистемы, подачу на них рабочего напряжения и мощности (постановку их под нагрузку) и (или) поочередное (в соответствии с графиком строительно-монтажных и пусконаладочных работ) включение в работу в составе энергосистемы отдельного оборудования допускаемых объектов, если в соответствии с проектной документацией или техническими условиями на технологическое присоединение определена необходимость такого поочередного включения до завершения в полном объеме мероприятий, предусмотренных для этапа (очереди, пускового комплекса) строительства (реконструкции) или этапа технологического присоединения;</w:t>
      </w:r>
    </w:p>
    <w:p>
      <w:pPr>
        <w:pStyle w:val="0"/>
        <w:spacing w:before="240" w:line-rule="auto"/>
        <w:ind w:firstLine="540"/>
        <w:jc w:val="both"/>
      </w:pPr>
      <w:r>
        <w:rPr>
          <w:sz w:val="24"/>
        </w:rPr>
        <w:t xml:space="preserve">комплексного опробования и пусконаладочных работ в отношении допускаемых объектов, предусматривающих подключение таких объектов к системе теплоснабжения, подачу тепловой энергии и теплоносителя.</w:t>
      </w:r>
    </w:p>
    <w:p>
      <w:pPr>
        <w:pStyle w:val="0"/>
        <w:spacing w:before="240" w:line-rule="auto"/>
        <w:ind w:firstLine="540"/>
        <w:jc w:val="both"/>
      </w:pPr>
      <w:r>
        <w:rPr>
          <w:sz w:val="24"/>
        </w:rPr>
        <w:t xml:space="preserve">7. Орган федерального государственного энергетического надзора в день принятия решения о выдаче разрешения на допуск вносит соответствующую запись в реестр.</w:t>
      </w:r>
    </w:p>
    <w:bookmarkStart w:id="71" w:name="P71"/>
    <w:bookmarkEnd w:id="71"/>
    <w:p>
      <w:pPr>
        <w:pStyle w:val="0"/>
        <w:spacing w:before="240" w:line-rule="auto"/>
        <w:ind w:firstLine="540"/>
        <w:jc w:val="both"/>
      </w:pPr>
      <w:r>
        <w:rPr>
          <w:sz w:val="24"/>
        </w:rPr>
        <w:t xml:space="preserve">В случаях, предусмотренных </w:t>
      </w:r>
      <w:hyperlink w:history="0" w:anchor="P53" w:tooltip="В случаях если федеральными органами исполнительной власти, уполномоченными на осуществление федерального государственного энергетического надзора (далее - органы федерального государственного энергетического надзора), являются Служба внешней разведки Российской Федерации, Федеральная служба охраны Российской Федерации, Федеральная служба безопасности Российской Федерации, Главное управление специальных программ Президента Российской Федерации и Министерство обороны Российской Федерации, разрешение на до...">
        <w:r>
          <w:rPr>
            <w:sz w:val="24"/>
            <w:color w:val="0000ff"/>
          </w:rPr>
          <w:t xml:space="preserve">абзацем вторым пункта 2</w:t>
        </w:r>
      </w:hyperlink>
      <w:r>
        <w:rPr>
          <w:sz w:val="24"/>
        </w:rPr>
        <w:t xml:space="preserve"> настоящих Правил, разрешение на допуск выдается в виде документа на бумажном носителе по форме согласно </w:t>
      </w:r>
      <w:hyperlink w:history="0" w:anchor="P316" w:tooltip="РАЗРЕШЕНИЕ">
        <w:r>
          <w:rPr>
            <w:sz w:val="24"/>
            <w:color w:val="0000ff"/>
          </w:rPr>
          <w:t xml:space="preserve">приложению N 1</w:t>
        </w:r>
      </w:hyperlink>
      <w:r>
        <w:rPr>
          <w:sz w:val="24"/>
        </w:rPr>
        <w:t xml:space="preserve">.</w:t>
      </w:r>
    </w:p>
    <w:p>
      <w:pPr>
        <w:pStyle w:val="0"/>
        <w:jc w:val="both"/>
      </w:pPr>
      <w:r>
        <w:rPr>
          <w:sz w:val="24"/>
        </w:rPr>
        <w:t xml:space="preserve">(п. 7 в ред. </w:t>
      </w:r>
      <w:hyperlink w:history="0" r:id="rId25"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8. Выдача разрешения на допуск производится на основании заявления о проведении осмотра и выдаче разрешения на допуск, поданного юридическим или физическим лицом, владеющим допускаемым объектом на праве собственности или ином законном основании, или иным лицом, которому предоставлено право действовать от имени этого юридического или физического лица (далее соответственно - заявитель, заявление о выдаче разрешения на допуск).</w:t>
      </w:r>
    </w:p>
    <w:p>
      <w:pPr>
        <w:pStyle w:val="0"/>
        <w:spacing w:before="240" w:line-rule="auto"/>
        <w:ind w:firstLine="540"/>
        <w:jc w:val="both"/>
      </w:pPr>
      <w:r>
        <w:rPr>
          <w:sz w:val="24"/>
        </w:rPr>
        <w:t xml:space="preserve">В случае подачи заявления о выдаче разрешения на допуск в виде документа на бумажном носителе оно заполняется по форме согласно </w:t>
      </w:r>
      <w:hyperlink w:history="0" w:anchor="P416" w:tooltip="ЗАЯВЛЕНИЕ &lt;1&gt;">
        <w:r>
          <w:rPr>
            <w:sz w:val="24"/>
            <w:color w:val="0000ff"/>
          </w:rPr>
          <w:t xml:space="preserve">приложению N 2</w:t>
        </w:r>
      </w:hyperlink>
      <w:r>
        <w:rPr>
          <w:sz w:val="24"/>
        </w:rPr>
        <w:t xml:space="preserve"> (все поля в заявлении являются обязательными для заполнения).</w:t>
      </w:r>
    </w:p>
    <w:p>
      <w:pPr>
        <w:pStyle w:val="0"/>
        <w:spacing w:before="240" w:line-rule="auto"/>
        <w:ind w:firstLine="540"/>
        <w:jc w:val="both"/>
      </w:pPr>
      <w:r>
        <w:rPr>
          <w:sz w:val="24"/>
        </w:rPr>
        <w:t xml:space="preserve">При подаче на бумажном носителе заявления о выдаче разрешения на допуск с незаполненными полями оно на регистрацию не принимается.</w:t>
      </w:r>
    </w:p>
    <w:p>
      <w:pPr>
        <w:pStyle w:val="0"/>
        <w:jc w:val="both"/>
      </w:pPr>
      <w:r>
        <w:rPr>
          <w:sz w:val="24"/>
        </w:rPr>
        <w:t xml:space="preserve">(п. 8 в ред. </w:t>
      </w:r>
      <w:hyperlink w:history="0" r:id="rId26"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9. В случае смены владельца допускаемого объекта получение нового разрешения на допуск не требуется.</w:t>
      </w:r>
    </w:p>
    <w:p>
      <w:pPr>
        <w:pStyle w:val="0"/>
        <w:spacing w:before="240" w:line-rule="auto"/>
        <w:ind w:firstLine="540"/>
        <w:jc w:val="both"/>
      </w:pPr>
      <w:r>
        <w:rPr>
          <w:sz w:val="24"/>
        </w:rPr>
        <w:t xml:space="preserve">10. В случае если проектной документацией на строительство (реконструкцию) допускаемого объекта предусмотрено выделение этапов, очередей строительства (реконструкции), предусматривающих поэтапный ввод в эксплуатацию допускаемого объекта, выдача разрешения на допуск осуществляется в отношении оборудования, вводимого на каждом этапе.</w:t>
      </w:r>
    </w:p>
    <w:p>
      <w:pPr>
        <w:pStyle w:val="0"/>
        <w:spacing w:before="240" w:line-rule="auto"/>
        <w:ind w:firstLine="540"/>
        <w:jc w:val="both"/>
      </w:pPr>
      <w:r>
        <w:rPr>
          <w:sz w:val="24"/>
        </w:rPr>
        <w:t xml:space="preserve">Выдача разрешения на допуск на завершающем этапе ввода объекта в эксплуатацию осуществляется в целом на допускаемый объект. В указанном случае к заявлению о выдаче разрешения на допуск в отношении энергоустановок этапа строительства (реконструкции) допускаемого объекта прилагаются документы по соответствующему этапу.</w:t>
      </w:r>
    </w:p>
    <w:p>
      <w:pPr>
        <w:pStyle w:val="0"/>
        <w:spacing w:before="240" w:line-rule="auto"/>
        <w:ind w:firstLine="540"/>
        <w:jc w:val="both"/>
      </w:pPr>
      <w:r>
        <w:rPr>
          <w:sz w:val="24"/>
        </w:rPr>
        <w:t xml:space="preserve">В случае выдачи разрешения на допуск после проведения реконструкции объектов, ранее введенных в эксплуатацию, заявителем представляются документы только на ту часть допускаемого объекта, в отношении которой проводилась реконструкция.</w:t>
      </w:r>
    </w:p>
    <w:p>
      <w:pPr>
        <w:pStyle w:val="0"/>
        <w:spacing w:before="240" w:line-rule="auto"/>
        <w:ind w:firstLine="540"/>
        <w:jc w:val="both"/>
      </w:pPr>
      <w:r>
        <w:rPr>
          <w:sz w:val="24"/>
        </w:rPr>
        <w:t xml:space="preserve">11. В случае если в отношении допускаемого объекта требуется получение как разрешения на допуск электроустановки, так и разрешения на допуск тепловой энергоустановки (объекта теплоснабжения, теплопотребляющей установки), подача и рассмотрение заявлений о выдаче разрешений на допуск и прилагаемых к ним документов, осмотр допускаемого объекта и входящего в его состав оборудования могут осуществляться одновременно в отношении электрической и тепловой энергоустановок допускаемого объекта в соответствии с представленными заявлениями о выдаче разрешений на допуск. В таком случае разрешения на допуск, уведомления об отказе в выдаче таких разрешений в отношении электроустановки и тепловой энергоустановки оформляются одновременно.</w:t>
      </w:r>
    </w:p>
    <w:p>
      <w:pPr>
        <w:pStyle w:val="0"/>
        <w:spacing w:before="240" w:line-rule="auto"/>
        <w:ind w:firstLine="540"/>
        <w:jc w:val="both"/>
      </w:pPr>
      <w:r>
        <w:rPr>
          <w:sz w:val="24"/>
        </w:rPr>
        <w:t xml:space="preserve">В отношении объекта по производству электрической энергии, функционирующего в режиме комбинированной выработки электрической и тепловой энергии, выдается одно разрешение на весь состав оборудования, предусмотренного </w:t>
      </w:r>
      <w:hyperlink w:history="0" w:anchor="P502" w:tooltip="2. В составе объекта по производству электрической энергии, объекта электросетевого хозяйства:">
        <w:r>
          <w:rPr>
            <w:sz w:val="24"/>
            <w:color w:val="0000ff"/>
          </w:rPr>
          <w:t xml:space="preserve">пунктом 2</w:t>
        </w:r>
      </w:hyperlink>
      <w:r>
        <w:rPr>
          <w:sz w:val="24"/>
        </w:rPr>
        <w:t xml:space="preserve"> перечня оборудования в составе допускаемых объектов, в отношении которого возможно проведение осмотра органом федерального государственного энергетического надзора в ходе выдачи разрешений на допуск, согласно приложению N 3.</w:t>
      </w:r>
    </w:p>
    <w:p>
      <w:pPr>
        <w:pStyle w:val="0"/>
        <w:spacing w:before="240" w:line-rule="auto"/>
        <w:ind w:firstLine="540"/>
        <w:jc w:val="both"/>
      </w:pPr>
      <w:r>
        <w:rPr>
          <w:sz w:val="24"/>
        </w:rPr>
        <w:t xml:space="preserve">12. Заявление о выдаче разрешения на допуск и прилагаемые к нему документы представляются в орган федерального государственного энергетического надзора одним из следующих способов по выбору заявителя:</w:t>
      </w:r>
    </w:p>
    <w:p>
      <w:pPr>
        <w:pStyle w:val="0"/>
        <w:spacing w:before="240" w:line-rule="auto"/>
        <w:ind w:firstLine="540"/>
        <w:jc w:val="both"/>
      </w:pPr>
      <w:r>
        <w:rPr>
          <w:sz w:val="24"/>
        </w:rPr>
        <w:t xml:space="preserve">на бумажном носителе непосредственно или посредством заказного почтового отправления с уведомлением о вручении;</w:t>
      </w:r>
    </w:p>
    <w:bookmarkStart w:id="85" w:name="P85"/>
    <w:bookmarkEnd w:id="85"/>
    <w:p>
      <w:pPr>
        <w:pStyle w:val="0"/>
        <w:spacing w:before="240" w:line-rule="auto"/>
        <w:ind w:firstLine="540"/>
        <w:jc w:val="both"/>
      </w:pPr>
      <w:r>
        <w:rPr>
          <w:sz w:val="24"/>
        </w:rPr>
        <w:t xml:space="preserve">в виде электронного документа (за исключением случаев, указанных в </w:t>
      </w:r>
      <w:hyperlink w:history="0" w:anchor="P71" w:tooltip="В случаях, предусмотренных абзацем вторым пункта 2 настоящих Правил, разрешение на допуск выдается в виде документа на бумажном носителе по форме согласно приложению N 1.">
        <w:r>
          <w:rPr>
            <w:sz w:val="24"/>
            <w:color w:val="0000ff"/>
          </w:rPr>
          <w:t xml:space="preserve">абзаце втором пункта 7</w:t>
        </w:r>
      </w:hyperlink>
      <w:r>
        <w:rPr>
          <w:sz w:val="24"/>
        </w:rPr>
        <w:t xml:space="preserve"> настоящих Правил) посредством федеральной государственной информационной системы "Единый портал государственных и муниципальных услуг (функций)" (далее - единый портал), подписанного простой электронной подписью, ключ которой получен в соответствии с </w:t>
      </w:r>
      <w:hyperlink w:history="0" r:id="rId27"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4"/>
            <w:color w:val="0000ff"/>
          </w:rPr>
          <w:t xml:space="preserve">Правилами</w:t>
        </w:r>
      </w:hyperlink>
      <w:r>
        <w:rPr>
          <w:sz w:val="24"/>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 выбору заявителя). При представлении заявления о выдаче разрешения на допуск и прилагаемых к нему документов посредством единого портала орган федерального государственного энергетического надзора не вправе требовать от заявителя представления их на бумажном носителе.</w:t>
      </w:r>
    </w:p>
    <w:p>
      <w:pPr>
        <w:pStyle w:val="0"/>
        <w:jc w:val="both"/>
      </w:pPr>
      <w:r>
        <w:rPr>
          <w:sz w:val="24"/>
        </w:rPr>
        <w:t xml:space="preserve">(в ред. </w:t>
      </w:r>
      <w:hyperlink w:history="0" r:id="rId28"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При подаче заявления о выдаче разрешения на допуск в виде электронного документа оно заполняется по форме, предусмотренной </w:t>
      </w:r>
      <w:hyperlink w:history="0" w:anchor="P416" w:tooltip="ЗАЯВЛЕНИЕ &lt;1&gt;">
        <w:r>
          <w:rPr>
            <w:sz w:val="24"/>
            <w:color w:val="0000ff"/>
          </w:rPr>
          <w:t xml:space="preserve">приложением N 2</w:t>
        </w:r>
      </w:hyperlink>
      <w:r>
        <w:rPr>
          <w:sz w:val="24"/>
        </w:rPr>
        <w:t xml:space="preserve"> к настоящим Правилам.</w:t>
      </w:r>
    </w:p>
    <w:p>
      <w:pPr>
        <w:pStyle w:val="0"/>
        <w:jc w:val="both"/>
      </w:pPr>
      <w:r>
        <w:rPr>
          <w:sz w:val="24"/>
        </w:rPr>
        <w:t xml:space="preserve">(в ред. </w:t>
      </w:r>
      <w:hyperlink w:history="0" r:id="rId29"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К заявлению о выдаче разрешения на допуск прилагаются документы, подтверждающие полномочия лица, подписавшего заявление о выдаче разрешения на допуск (при отсутствии сведений в единой информационной системе нотариата). При наличии соответствующих сведений в единой информационной системе нотариата в заявлении о выдаче разрешения на допуск указываются реквизиты документа (нотариально удостоверенной доверенности), подтверждающего полномочия лица.</w:t>
      </w:r>
    </w:p>
    <w:p>
      <w:pPr>
        <w:pStyle w:val="0"/>
        <w:jc w:val="both"/>
      </w:pPr>
      <w:r>
        <w:rPr>
          <w:sz w:val="24"/>
        </w:rPr>
        <w:t xml:space="preserve">(в ред. </w:t>
      </w:r>
      <w:hyperlink w:history="0" r:id="rId30"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В случае подачи заявления о выдаче разрешения на допуск посредством единого портала полномочия представителя могут быть подтверждены через платформу полномочий единого портала.</w:t>
      </w:r>
    </w:p>
    <w:p>
      <w:pPr>
        <w:pStyle w:val="0"/>
        <w:jc w:val="both"/>
      </w:pPr>
      <w:r>
        <w:rPr>
          <w:sz w:val="24"/>
        </w:rPr>
        <w:t xml:space="preserve">(в ред. </w:t>
      </w:r>
      <w:hyperlink w:history="0" r:id="rId31"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bookmarkStart w:id="93" w:name="P93"/>
    <w:bookmarkEnd w:id="93"/>
    <w:p>
      <w:pPr>
        <w:pStyle w:val="0"/>
        <w:spacing w:before="240" w:line-rule="auto"/>
        <w:ind w:firstLine="540"/>
        <w:jc w:val="both"/>
      </w:pPr>
      <w:r>
        <w:rPr>
          <w:sz w:val="24"/>
        </w:rPr>
        <w:t xml:space="preserve">13. Для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 к заявлению о выдаче разрешения на допуск прилагаются следующие документы:</w:t>
      </w:r>
    </w:p>
    <w:bookmarkStart w:id="94" w:name="P94"/>
    <w:bookmarkEnd w:id="94"/>
    <w:p>
      <w:pPr>
        <w:pStyle w:val="0"/>
        <w:spacing w:before="240" w:line-rule="auto"/>
        <w:ind w:firstLine="540"/>
        <w:jc w:val="both"/>
      </w:pPr>
      <w:r>
        <w:rPr>
          <w:sz w:val="24"/>
        </w:rPr>
        <w:t xml:space="preserve">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допускаемый объект не зарегистрированы). В случае если соответствующие права зарегистрированы в Едином государственном реестре недвижимости, представление копий документов, подтверждающих владение на праве собственности или ином законном основании допускаемым объектом или земельным участком, не требуется, а в заявлении о выдаче разрешения на допуск указываются кадастровые номера допускаемого объекта или земельного участка;</w:t>
      </w:r>
    </w:p>
    <w:p>
      <w:pPr>
        <w:pStyle w:val="0"/>
        <w:jc w:val="both"/>
      </w:pPr>
      <w:r>
        <w:rPr>
          <w:sz w:val="24"/>
        </w:rPr>
        <w:t xml:space="preserve">(в ред. </w:t>
      </w:r>
      <w:hyperlink w:history="0" r:id="rId32"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б) утратил силу с 1 марта 2025 года. - </w:t>
      </w:r>
      <w:hyperlink w:history="0" r:id="rId33"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Постановление</w:t>
        </w:r>
      </w:hyperlink>
      <w:r>
        <w:rPr>
          <w:sz w:val="24"/>
        </w:rPr>
        <w:t xml:space="preserve"> Правительства РФ от 04.12.2024 N 1711;</w:t>
      </w:r>
    </w:p>
    <w:p>
      <w:pPr>
        <w:pStyle w:val="0"/>
        <w:spacing w:before="240" w:line-rule="auto"/>
        <w:ind w:firstLine="540"/>
        <w:jc w:val="both"/>
      </w:pPr>
      <w:r>
        <w:rPr>
          <w:sz w:val="24"/>
        </w:rPr>
        <w:t xml:space="preserve">в) копия одного из следующих документов, подтверждающих возможность работы допускаемого объекта в составе энергосистемы:</w:t>
      </w:r>
    </w:p>
    <w:p>
      <w:pPr>
        <w:pStyle w:val="0"/>
        <w:spacing w:before="240" w:line-rule="auto"/>
        <w:ind w:firstLine="540"/>
        <w:jc w:val="both"/>
      </w:pPr>
      <w:r>
        <w:rPr>
          <w:sz w:val="24"/>
        </w:rPr>
        <w:t xml:space="preserve">акт о выполнении технических условий (акт о выполнении этапа технических условий), согласованный и утвержденный в соответствии с </w:t>
      </w:r>
      <w:hyperlink w:history="0" r:id="rId34"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Правилами</w:t>
        </w:r>
      </w:hyperlink>
      <w:r>
        <w:rPr>
          <w:sz w:val="24"/>
        </w:rPr>
        <w:t xml:space="preserve"> технологического присоединения к электрическим сетям, - при технологическом присоединении допускаемого объекта электроэнергетики к электрическим сетям;</w:t>
      </w:r>
    </w:p>
    <w:p>
      <w:pPr>
        <w:pStyle w:val="0"/>
        <w:spacing w:before="240" w:line-rule="auto"/>
        <w:ind w:firstLine="540"/>
        <w:jc w:val="both"/>
      </w:pPr>
      <w:r>
        <w:rPr>
          <w:sz w:val="24"/>
        </w:rPr>
        <w:t xml:space="preserve">справка о выполнении технических решений, предусмотренных проектной и рабочей документацией, оформленная в соответствии с правилами ввода объектов электроэнергетики, их оборудования и устройств в работу в составе энергосистемы, утверждаемыми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 (далее - правила ввода в работу в составе энергосистемы), - при вводе в эксплуатацию вновь построенных или реконструированных допускаемых объектов за рамками процедуры технологического присоединения;</w:t>
      </w:r>
    </w:p>
    <w:p>
      <w:pPr>
        <w:pStyle w:val="0"/>
        <w:spacing w:before="240" w:line-rule="auto"/>
        <w:ind w:firstLine="540"/>
        <w:jc w:val="both"/>
      </w:pPr>
      <w:r>
        <w:rPr>
          <w:sz w:val="24"/>
        </w:rPr>
        <w:t xml:space="preserve">уведомление о возможности включения объекта по режиму энергосистемы, полученное в соответствии с правилами ввода в работу в составе энергосистемы, - при необходимости включения в работу в составе энергосистемы объекта электросетевого хозяйства (входящего в том числе в состав объектов по производству электрической энергии), мероприятия по строительству (реконструкции, монтажу) и вводу в эксплуатацию которого не выделены в отдельный этап технических условий на технологическое присоединение или отдельный этап реализации проекта;</w:t>
      </w:r>
    </w:p>
    <w:bookmarkStart w:id="101" w:name="P101"/>
    <w:bookmarkEnd w:id="101"/>
    <w:p>
      <w:pPr>
        <w:pStyle w:val="0"/>
        <w:spacing w:before="240" w:line-rule="auto"/>
        <w:ind w:firstLine="540"/>
        <w:jc w:val="both"/>
      </w:pPr>
      <w:r>
        <w:rPr>
          <w:sz w:val="24"/>
        </w:rPr>
        <w:t xml:space="preserve">г) перечень документов, представление которых осуществляется в ходе осмотра допускаемого объекта:</w:t>
      </w:r>
    </w:p>
    <w:p>
      <w:pPr>
        <w:pStyle w:val="0"/>
        <w:spacing w:before="240" w:line-rule="auto"/>
        <w:ind w:firstLine="540"/>
        <w:jc w:val="both"/>
      </w:pPr>
      <w:r>
        <w:rPr>
          <w:sz w:val="24"/>
        </w:rPr>
        <w:t xml:space="preserve">однолинейные схемы электрических соединений;</w:t>
      </w:r>
    </w:p>
    <w:p>
      <w:pPr>
        <w:pStyle w:val="0"/>
        <w:spacing w:before="240" w:line-rule="auto"/>
        <w:ind w:firstLine="540"/>
        <w:jc w:val="both"/>
      </w:pPr>
      <w:r>
        <w:rPr>
          <w:sz w:val="24"/>
        </w:rPr>
        <w:t xml:space="preserve">инструкции по охране труда для оперативного, оперативно-ремонтного персонала допускаемого объекта;</w:t>
      </w:r>
    </w:p>
    <w:p>
      <w:pPr>
        <w:pStyle w:val="0"/>
        <w:spacing w:before="240" w:line-rule="auto"/>
        <w:ind w:firstLine="540"/>
        <w:jc w:val="both"/>
      </w:pPr>
      <w:r>
        <w:rPr>
          <w:sz w:val="24"/>
        </w:rPr>
        <w:t xml:space="preserve">должностные инструкции оперативного, оперативно-ремонтного персонала допускаемого объекта по каждому рабочему месту;</w:t>
      </w:r>
    </w:p>
    <w:p>
      <w:pPr>
        <w:pStyle w:val="0"/>
        <w:spacing w:before="240" w:line-rule="auto"/>
        <w:ind w:firstLine="540"/>
        <w:jc w:val="both"/>
      </w:pPr>
      <w:r>
        <w:rPr>
          <w:sz w:val="24"/>
        </w:rPr>
        <w:t xml:space="preserve">договор на эксплуатационное обслуживание, в том числе на оперативно-технологическое управление, с эксплуатирующей организацией - при отсутствии у заявителя собственного эксплуатирующего персонала (на объекте представляются копии 1-го листа и листа с подписями сторон);</w:t>
      </w:r>
    </w:p>
    <w:p>
      <w:pPr>
        <w:pStyle w:val="0"/>
        <w:spacing w:before="240" w:line-rule="auto"/>
        <w:ind w:firstLine="540"/>
        <w:jc w:val="both"/>
      </w:pPr>
      <w:r>
        <w:rPr>
          <w:sz w:val="24"/>
        </w:rPr>
        <w:t xml:space="preserve">список лиц, допущенных к ведению оперативных переговоров и производству переключений в электроустановках на данном объекте электроэнергетики;</w:t>
      </w:r>
    </w:p>
    <w:p>
      <w:pPr>
        <w:pStyle w:val="0"/>
        <w:spacing w:before="240" w:line-rule="auto"/>
        <w:ind w:firstLine="540"/>
        <w:jc w:val="both"/>
      </w:pPr>
      <w:r>
        <w:rPr>
          <w:sz w:val="24"/>
        </w:rPr>
        <w:t xml:space="preserve">организационно-распорядительные документы, подтверждающие наличие допуска к самостоятельной работе оперативного, оперативно-ремонтного персонала на допускаемом объекте;</w:t>
      </w:r>
    </w:p>
    <w:p>
      <w:pPr>
        <w:pStyle w:val="0"/>
        <w:spacing w:before="240" w:line-rule="auto"/>
        <w:ind w:firstLine="540"/>
        <w:jc w:val="both"/>
      </w:pPr>
      <w:r>
        <w:rPr>
          <w:sz w:val="24"/>
        </w:rPr>
        <w:t xml:space="preserve">список имеющихся в наличии защитных средств в соответствии с правилами охраны труда;</w:t>
      </w:r>
    </w:p>
    <w:p>
      <w:pPr>
        <w:pStyle w:val="0"/>
        <w:spacing w:before="240" w:line-rule="auto"/>
        <w:ind w:firstLine="540"/>
        <w:jc w:val="both"/>
      </w:pPr>
      <w:r>
        <w:rPr>
          <w:sz w:val="24"/>
        </w:rPr>
        <w:t xml:space="preserve">инструкции по эксплуатации, в том числе по организации и осуществлению оперативно-технологического управления, в объеме технических решений, соответствующем заявлению о выдаче разрешения на допуск;</w:t>
      </w:r>
    </w:p>
    <w:p>
      <w:pPr>
        <w:pStyle w:val="0"/>
        <w:spacing w:before="240" w:line-rule="auto"/>
        <w:ind w:firstLine="540"/>
        <w:jc w:val="both"/>
      </w:pPr>
      <w:r>
        <w:rPr>
          <w:sz w:val="24"/>
        </w:rPr>
        <w:t xml:space="preserve">журнал (оперативный, распоряжений, релейной защиты и автоматики, телемеханики, проверки знаний, вводного инструктажа по охране труда электротехнического персонала, учета и содержания средств защиты, учета работ по нарядам и распоряжениям), журнал (картотека) диспетчерских и оперативных заявок (на объекте представляется на бумажном носителе или в электронном виде);</w:t>
      </w:r>
    </w:p>
    <w:bookmarkStart w:id="111" w:name="P111"/>
    <w:bookmarkEnd w:id="111"/>
    <w:p>
      <w:pPr>
        <w:pStyle w:val="0"/>
        <w:spacing w:before="240" w:line-rule="auto"/>
        <w:ind w:firstLine="540"/>
        <w:jc w:val="both"/>
      </w:pPr>
      <w:r>
        <w:rPr>
          <w:sz w:val="24"/>
        </w:rPr>
        <w:t xml:space="preserve">д) акты испытаний и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документы, оформленные по результатам проведенных пусконаладочных работ с подключением объекта, оборудования к внешней электрической сети (акты, протоколы пусконаладочных работ - в случае если их проведение требуется в соответствии с нормативными правовыми актами в сфере электроэнергетики, а также документацией изготовителя), которые включаются также в перечень документов, предусмотренный </w:t>
      </w:r>
      <w:hyperlink w:history="0" w:anchor="P101" w:tooltip="г) перечень документов, представление которых осуществляется в ходе осмотра допускаемого объекта:">
        <w:r>
          <w:rPr>
            <w:sz w:val="24"/>
            <w:color w:val="0000ff"/>
          </w:rPr>
          <w:t xml:space="preserve">подпунктом "г"</w:t>
        </w:r>
      </w:hyperlink>
      <w:r>
        <w:rPr>
          <w:sz w:val="24"/>
        </w:rPr>
        <w:t xml:space="preserve"> настоящего пункта;</w:t>
      </w:r>
    </w:p>
    <w:p>
      <w:pPr>
        <w:pStyle w:val="0"/>
        <w:jc w:val="both"/>
      </w:pPr>
      <w:r>
        <w:rPr>
          <w:sz w:val="24"/>
        </w:rPr>
        <w:t xml:space="preserve">(в ред. </w:t>
      </w:r>
      <w:hyperlink w:history="0" r:id="rId35"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е) копия документа, подтверждающего успешное проведение комплексного опробования в соответствии с требованиями нормативных правовых актов в сфере электроэнергетики (при получении разрешения на допуск в эксплуатацию в случае, если ранее на вводимый объект выдавалось временное разрешение);</w:t>
      </w:r>
    </w:p>
    <w:bookmarkStart w:id="114" w:name="P114"/>
    <w:bookmarkEnd w:id="114"/>
    <w:p>
      <w:pPr>
        <w:pStyle w:val="0"/>
        <w:spacing w:before="240" w:line-rule="auto"/>
        <w:ind w:firstLine="540"/>
        <w:jc w:val="both"/>
      </w:pPr>
      <w:r>
        <w:rPr>
          <w:sz w:val="24"/>
        </w:rPr>
        <w:t xml:space="preserve">ж) акт о готовности оборудования, работающего под давлением, к вводу в эксплуатацию, оформленный в соответствии с федеральными нормами и правилами в области промышленной безопасности.</w:t>
      </w:r>
    </w:p>
    <w:p>
      <w:pPr>
        <w:pStyle w:val="0"/>
        <w:jc w:val="both"/>
      </w:pPr>
      <w:r>
        <w:rPr>
          <w:sz w:val="24"/>
        </w:rPr>
        <w:t xml:space="preserve">(пп. "ж" введен </w:t>
      </w:r>
      <w:hyperlink w:history="0" r:id="rId36"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quot; {КонсультантПлюс}">
        <w:r>
          <w:rPr>
            <w:sz w:val="24"/>
            <w:color w:val="0000ff"/>
          </w:rPr>
          <w:t xml:space="preserve">Постановлением</w:t>
        </w:r>
      </w:hyperlink>
      <w:r>
        <w:rPr>
          <w:sz w:val="24"/>
        </w:rPr>
        <w:t xml:space="preserve"> Правительства РФ от 22.10.2021 N 1813)</w:t>
      </w:r>
    </w:p>
    <w:p>
      <w:pPr>
        <w:pStyle w:val="0"/>
        <w:spacing w:before="240" w:line-rule="auto"/>
        <w:ind w:firstLine="540"/>
        <w:jc w:val="both"/>
      </w:pPr>
      <w:r>
        <w:rPr>
          <w:sz w:val="24"/>
        </w:rPr>
        <w:t xml:space="preserve">14. К заявлению о выдаче временного разрешения прилагаются документы, указанные в </w:t>
      </w:r>
      <w:hyperlink w:history="0" w:anchor="P94"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пускаемый объект не зарегистрированы). В случае если соответствующие права зарегистрированы в Едином государственном реестре недвижимости, представление копий документов, подтверждающих владение на праве собственности или ином законном основании доп...">
        <w:r>
          <w:rPr>
            <w:sz w:val="24"/>
            <w:color w:val="0000ff"/>
          </w:rPr>
          <w:t xml:space="preserve">подпунктах "а"</w:t>
        </w:r>
      </w:hyperlink>
      <w:r>
        <w:rPr>
          <w:sz w:val="24"/>
        </w:rPr>
        <w:t xml:space="preserve"> - </w:t>
      </w:r>
      <w:hyperlink w:history="0" w:anchor="P111" w:tooltip="д) акты испытаний и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документы, оформленные по результатам проведенных пусконаладочных работ с подключением объекта, оборудования к внешней электрической сети (акты, протоколы пусконаладочных работ - в случае если их проведение требуется в соответствии с нормативными право...">
        <w:r>
          <w:rPr>
            <w:sz w:val="24"/>
            <w:color w:val="0000ff"/>
          </w:rPr>
          <w:t xml:space="preserve">"д"</w:t>
        </w:r>
      </w:hyperlink>
      <w:r>
        <w:rPr>
          <w:sz w:val="24"/>
        </w:rPr>
        <w:t xml:space="preserve"> (кроме документов, оформленных по результатам проведенных пусконаладочных работ с подключением объекта, оборудования к внешней электрической сети) пункта 13 настоящих Правил.</w:t>
      </w:r>
    </w:p>
    <w:p>
      <w:pPr>
        <w:pStyle w:val="0"/>
        <w:spacing w:before="240" w:line-rule="auto"/>
        <w:ind w:firstLine="540"/>
        <w:jc w:val="both"/>
      </w:pPr>
      <w:r>
        <w:rPr>
          <w:sz w:val="24"/>
        </w:rPr>
        <w:t xml:space="preserve">В случае если на объект электроэнергетики было выдано временное разрешение, к заявлению о выдаче разрешения на допуск в эксплуатацию дополнительно к документам, предусмотренным </w:t>
      </w:r>
      <w:hyperlink w:history="0" w:anchor="P101" w:tooltip="г) перечень документов, представление которых осуществляется в ходе осмотра допускаемого объекта:">
        <w:r>
          <w:rPr>
            <w:sz w:val="24"/>
            <w:color w:val="0000ff"/>
          </w:rPr>
          <w:t xml:space="preserve">подпунктами "г"</w:t>
        </w:r>
      </w:hyperlink>
      <w:r>
        <w:rPr>
          <w:sz w:val="24"/>
        </w:rPr>
        <w:t xml:space="preserve"> и </w:t>
      </w:r>
      <w:hyperlink w:history="0" w:anchor="P111" w:tooltip="д) акты испытаний и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документы, оформленные по результатам проведенных пусконаладочных работ с подключением объекта, оборудования к внешней электрической сети (акты, протоколы пусконаладочных работ - в случае если их проведение требуется в соответствии с нормативными право...">
        <w:r>
          <w:rPr>
            <w:sz w:val="24"/>
            <w:color w:val="0000ff"/>
          </w:rPr>
          <w:t xml:space="preserve">"д" пункта 13</w:t>
        </w:r>
      </w:hyperlink>
      <w:r>
        <w:rPr>
          <w:sz w:val="24"/>
        </w:rPr>
        <w:t xml:space="preserve"> настоящих Правил, прилагаются документы, представленные ранее при выдаче временного разрешения, если в них вносились изменения, а также документы, оформленные по результатам проведенных пусконаладочных работ с подключением объекта, оборудования к внешней сети, предусмотренные </w:t>
      </w:r>
      <w:hyperlink w:history="0" w:anchor="P111" w:tooltip="д) акты испытаний и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документы, оформленные по результатам проведенных пусконаладочных работ с подключением объекта, оборудования к внешней электрической сети (акты, протоколы пусконаладочных работ - в случае если их проведение требуется в соответствии с нормативными право...">
        <w:r>
          <w:rPr>
            <w:sz w:val="24"/>
            <w:color w:val="0000ff"/>
          </w:rPr>
          <w:t xml:space="preserve">подпунктами "д"</w:t>
        </w:r>
      </w:hyperlink>
      <w:r>
        <w:rPr>
          <w:sz w:val="24"/>
        </w:rPr>
        <w:t xml:space="preserve"> и </w:t>
      </w:r>
      <w:hyperlink w:history="0" w:anchor="P114" w:tooltip="ж) акт о готовности оборудования, работающего под давлением, к вводу в эксплуатацию, оформленный в соответствии с федеральными нормами и правилами в области промышленной безопасности.">
        <w:r>
          <w:rPr>
            <w:sz w:val="24"/>
            <w:color w:val="0000ff"/>
          </w:rPr>
          <w:t xml:space="preserve">"ж" пункта 13</w:t>
        </w:r>
      </w:hyperlink>
      <w:r>
        <w:rPr>
          <w:sz w:val="24"/>
        </w:rPr>
        <w:t xml:space="preserve"> настоящих Правил.</w:t>
      </w:r>
    </w:p>
    <w:p>
      <w:pPr>
        <w:pStyle w:val="0"/>
        <w:jc w:val="both"/>
      </w:pPr>
      <w:r>
        <w:rPr>
          <w:sz w:val="24"/>
        </w:rPr>
        <w:t xml:space="preserve">(в ред. Постановлений Правительства РФ от 22.10.2021 </w:t>
      </w:r>
      <w:hyperlink w:history="0" r:id="rId37"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quot; {КонсультантПлюс}">
        <w:r>
          <w:rPr>
            <w:sz w:val="24"/>
            <w:color w:val="0000ff"/>
          </w:rPr>
          <w:t xml:space="preserve">N 1813</w:t>
        </w:r>
      </w:hyperlink>
      <w:r>
        <w:rPr>
          <w:sz w:val="24"/>
        </w:rPr>
        <w:t xml:space="preserve">, от 04.12.2024 </w:t>
      </w:r>
      <w:hyperlink w:history="0" r:id="rId38"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N 1711</w:t>
        </w:r>
      </w:hyperlink>
      <w:r>
        <w:rPr>
          <w:sz w:val="24"/>
        </w:rPr>
        <w:t xml:space="preserve">)</w:t>
      </w:r>
    </w:p>
    <w:p>
      <w:pPr>
        <w:pStyle w:val="0"/>
        <w:spacing w:before="240" w:line-rule="auto"/>
        <w:ind w:firstLine="540"/>
        <w:jc w:val="both"/>
      </w:pPr>
      <w:r>
        <w:rPr>
          <w:sz w:val="24"/>
        </w:rPr>
        <w:t xml:space="preserve">Выдача Федеральной службой безопасности Российской Федерации временного разрешения на допуск может осуществляться только на основании заявления о выдаче временного разрешения на допуск и документов, указанных в </w:t>
      </w:r>
      <w:hyperlink w:history="0" w:anchor="P94"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пускаемый объект не зарегистрированы). В случае если соответствующие права зарегистрированы в Едином государственном реестре недвижимости, представление копий документов, подтверждающих владение на праве собственности или ином законном основании доп...">
        <w:r>
          <w:rPr>
            <w:sz w:val="24"/>
            <w:color w:val="0000ff"/>
          </w:rPr>
          <w:t xml:space="preserve">подпунктах "а"</w:t>
        </w:r>
      </w:hyperlink>
      <w:r>
        <w:rPr>
          <w:sz w:val="24"/>
        </w:rPr>
        <w:t xml:space="preserve"> - </w:t>
      </w:r>
      <w:hyperlink w:history="0" w:anchor="P111" w:tooltip="д) акты испытаний и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документы, оформленные по результатам проведенных пусконаладочных работ с подключением объекта, оборудования к внешней электрической сети (акты, протоколы пусконаладочных работ - в случае если их проведение требуется в соответствии с нормативными право...">
        <w:r>
          <w:rPr>
            <w:sz w:val="24"/>
            <w:color w:val="0000ff"/>
          </w:rPr>
          <w:t xml:space="preserve">"д" пункта 13</w:t>
        </w:r>
      </w:hyperlink>
      <w:r>
        <w:rPr>
          <w:sz w:val="24"/>
        </w:rPr>
        <w:t xml:space="preserve"> настоящих Правил (кроме документов, оформленных по результатам проведенных пусконаладочных работ с подключением объекта, оборудования к внешней электрической сети), без проведения осмотра.</w:t>
      </w:r>
    </w:p>
    <w:p>
      <w:pPr>
        <w:pStyle w:val="0"/>
        <w:jc w:val="both"/>
      </w:pPr>
      <w:r>
        <w:rPr>
          <w:sz w:val="24"/>
        </w:rPr>
        <w:t xml:space="preserve">(абзац введен </w:t>
      </w:r>
      <w:hyperlink w:history="0" r:id="rId39"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Постановлением</w:t>
        </w:r>
      </w:hyperlink>
      <w:r>
        <w:rPr>
          <w:sz w:val="24"/>
        </w:rPr>
        <w:t xml:space="preserve"> Правительства РФ от 04.12.2024 N 1711)</w:t>
      </w:r>
    </w:p>
    <w:bookmarkStart w:id="121" w:name="P121"/>
    <w:bookmarkEnd w:id="121"/>
    <w:p>
      <w:pPr>
        <w:pStyle w:val="0"/>
        <w:spacing w:before="240" w:line-rule="auto"/>
        <w:ind w:firstLine="540"/>
        <w:jc w:val="both"/>
      </w:pPr>
      <w:r>
        <w:rPr>
          <w:sz w:val="24"/>
        </w:rPr>
        <w:t xml:space="preserve">15. Для энергопринимающей установки к заявлению о выдаче разрешения на допуск прилагаются следующие документы:</w:t>
      </w:r>
    </w:p>
    <w:bookmarkStart w:id="122" w:name="P122"/>
    <w:bookmarkEnd w:id="122"/>
    <w:p>
      <w:pPr>
        <w:pStyle w:val="0"/>
        <w:spacing w:before="240" w:line-rule="auto"/>
        <w:ind w:firstLine="540"/>
        <w:jc w:val="both"/>
      </w:pPr>
      <w:r>
        <w:rPr>
          <w:sz w:val="24"/>
        </w:rPr>
        <w:t xml:space="preserve">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допускаемый объект не зарегистрированы). В случае если соответствующие права зарегистрированы в Едином государственном реестре недвижимости, представление копий документов, подтверждающих владение на праве собственности или ином законном основании допускаемым объектом или земельным участком, не требуется, а в заявлении о выдаче разрешения на допуск указываются кадастровые номера допускаемого объекта или земельного участка;</w:t>
      </w:r>
    </w:p>
    <w:p>
      <w:pPr>
        <w:pStyle w:val="0"/>
        <w:jc w:val="both"/>
      </w:pPr>
      <w:r>
        <w:rPr>
          <w:sz w:val="24"/>
        </w:rPr>
        <w:t xml:space="preserve">(в ред. </w:t>
      </w:r>
      <w:hyperlink w:history="0" r:id="rId40"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б) утратил силу с 1 марта 2025 года. - </w:t>
      </w:r>
      <w:hyperlink w:history="0" r:id="rId41"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Постановление</w:t>
        </w:r>
      </w:hyperlink>
      <w:r>
        <w:rPr>
          <w:sz w:val="24"/>
        </w:rPr>
        <w:t xml:space="preserve"> Правительства РФ от 04.12.2024 N 1711;</w:t>
      </w:r>
    </w:p>
    <w:p>
      <w:pPr>
        <w:pStyle w:val="0"/>
        <w:spacing w:before="240" w:line-rule="auto"/>
        <w:ind w:firstLine="540"/>
        <w:jc w:val="both"/>
      </w:pPr>
      <w:r>
        <w:rPr>
          <w:sz w:val="24"/>
        </w:rPr>
        <w:t xml:space="preserve">в) копия акта о выполнении технических условий (акта о выполнении этапа технических условий), согласованного и утвержденного в соответствии с </w:t>
      </w:r>
      <w:hyperlink w:history="0" r:id="rId42" w:tooltip="Постановление Правительства РФ от 27.12.2004 N 861 (ред. от 27.12.2024)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коммерческого оператора оптового рынка и оказания этих услуг и Правил технологического присоединения энергопринимающих устройств потребителей элек {КонсультантПлюс}">
        <w:r>
          <w:rPr>
            <w:sz w:val="24"/>
            <w:color w:val="0000ff"/>
          </w:rPr>
          <w:t xml:space="preserve">Правилами</w:t>
        </w:r>
      </w:hyperlink>
      <w:r>
        <w:rPr>
          <w:sz w:val="24"/>
        </w:rPr>
        <w:t xml:space="preserve"> технологического присоединения к электрическим сетям;</w:t>
      </w:r>
    </w:p>
    <w:bookmarkStart w:id="126" w:name="P126"/>
    <w:bookmarkEnd w:id="126"/>
    <w:p>
      <w:pPr>
        <w:pStyle w:val="0"/>
        <w:spacing w:before="240" w:line-rule="auto"/>
        <w:ind w:firstLine="540"/>
        <w:jc w:val="both"/>
      </w:pPr>
      <w:r>
        <w:rPr>
          <w:sz w:val="24"/>
        </w:rPr>
        <w:t xml:space="preserve">г) перечень документов, представление которых осуществляется в ходе осмотра допускаемого объекта:</w:t>
      </w:r>
    </w:p>
    <w:bookmarkStart w:id="127" w:name="P127"/>
    <w:bookmarkEnd w:id="127"/>
    <w:p>
      <w:pPr>
        <w:pStyle w:val="0"/>
        <w:spacing w:before="240" w:line-rule="auto"/>
        <w:ind w:firstLine="540"/>
        <w:jc w:val="both"/>
      </w:pPr>
      <w:r>
        <w:rPr>
          <w:sz w:val="24"/>
        </w:rPr>
        <w:t xml:space="preserve">однолинейные схемы первичных электрических соединений;</w:t>
      </w:r>
    </w:p>
    <w:p>
      <w:pPr>
        <w:pStyle w:val="0"/>
        <w:spacing w:before="240" w:line-rule="auto"/>
        <w:ind w:firstLine="540"/>
        <w:jc w:val="both"/>
      </w:pPr>
      <w:r>
        <w:rPr>
          <w:sz w:val="24"/>
        </w:rPr>
        <w:t xml:space="preserve">инструкции по охране труда для оперативного, оперативно-ремонтного персонала допускаемого объекта;</w:t>
      </w:r>
    </w:p>
    <w:p>
      <w:pPr>
        <w:pStyle w:val="0"/>
        <w:spacing w:before="240" w:line-rule="auto"/>
        <w:ind w:firstLine="540"/>
        <w:jc w:val="both"/>
      </w:pPr>
      <w:r>
        <w:rPr>
          <w:sz w:val="24"/>
        </w:rPr>
        <w:t xml:space="preserve">должностные инструкции оперативного, оперативно-ремонтного персонала по каждому рабочему месту;</w:t>
      </w:r>
    </w:p>
    <w:p>
      <w:pPr>
        <w:pStyle w:val="0"/>
        <w:spacing w:before="240" w:line-rule="auto"/>
        <w:ind w:firstLine="540"/>
        <w:jc w:val="both"/>
      </w:pPr>
      <w:r>
        <w:rPr>
          <w:sz w:val="24"/>
        </w:rPr>
        <w:t xml:space="preserve">договор на эксплуатационное обслуживание, в том числе на оперативно-технологическое управление, с эксплуатирующей организацией - при отсутствии у заявителя собственного эксплуатирующего персонала (на объекте представляются копии 1-го листа и листа с подписями сторон);</w:t>
      </w:r>
    </w:p>
    <w:p>
      <w:pPr>
        <w:pStyle w:val="0"/>
        <w:spacing w:before="240" w:line-rule="auto"/>
        <w:ind w:firstLine="540"/>
        <w:jc w:val="both"/>
      </w:pPr>
      <w:r>
        <w:rPr>
          <w:sz w:val="24"/>
        </w:rPr>
        <w:t xml:space="preserve">список лиц, допущенных к ведению оперативных переговоров и производству переключений в электроустановках;</w:t>
      </w:r>
    </w:p>
    <w:p>
      <w:pPr>
        <w:pStyle w:val="0"/>
        <w:spacing w:before="240" w:line-rule="auto"/>
        <w:ind w:firstLine="540"/>
        <w:jc w:val="both"/>
      </w:pPr>
      <w:r>
        <w:rPr>
          <w:sz w:val="24"/>
        </w:rPr>
        <w:t xml:space="preserve">организационно-распорядительный документ о назначении ответственного за электрохозяйство и его заместителя;</w:t>
      </w:r>
    </w:p>
    <w:p>
      <w:pPr>
        <w:pStyle w:val="0"/>
        <w:spacing w:before="240" w:line-rule="auto"/>
        <w:ind w:firstLine="540"/>
        <w:jc w:val="both"/>
      </w:pPr>
      <w:r>
        <w:rPr>
          <w:sz w:val="24"/>
        </w:rPr>
        <w:t xml:space="preserve">организационно-распорядительные документы, подтверждающие наличие допуска к самостоятельной работе оперативного, оперативно-ремонтного персонала;</w:t>
      </w:r>
    </w:p>
    <w:p>
      <w:pPr>
        <w:pStyle w:val="0"/>
        <w:spacing w:before="240" w:line-rule="auto"/>
        <w:ind w:firstLine="540"/>
        <w:jc w:val="both"/>
      </w:pPr>
      <w:r>
        <w:rPr>
          <w:sz w:val="24"/>
        </w:rPr>
        <w:t xml:space="preserve">список имеющихся в наличии защитных средств в соответствии с правилами охраны труда;</w:t>
      </w:r>
    </w:p>
    <w:p>
      <w:pPr>
        <w:pStyle w:val="0"/>
        <w:spacing w:before="240" w:line-rule="auto"/>
        <w:ind w:firstLine="540"/>
        <w:jc w:val="both"/>
      </w:pPr>
      <w:r>
        <w:rPr>
          <w:sz w:val="24"/>
        </w:rPr>
        <w:t xml:space="preserve">производственные инструкции по эксплуатации электроустановок, в том числе по организации и осуществлению оперативно-технологического управления, в объеме технических решений, соответствующем заявлению о выдаче разрешения на допуск;</w:t>
      </w:r>
    </w:p>
    <w:p>
      <w:pPr>
        <w:pStyle w:val="0"/>
        <w:spacing w:before="240" w:line-rule="auto"/>
        <w:ind w:firstLine="540"/>
        <w:jc w:val="both"/>
      </w:pPr>
      <w:r>
        <w:rPr>
          <w:sz w:val="24"/>
        </w:rPr>
        <w:t xml:space="preserve">журнал (оперативный, распоряжений, релейной защиты и автоматики, телемеханики, проверки знаний, вводного инструктажа по охране труда электротехнического персонала, учета и содержания средств защиты, учета работ по нарядам и распоряжениям), журнал (картотека) диспетчерских и оперативных заявок (на объекте представляется на бумажном носителе или в электронном виде);</w:t>
      </w:r>
    </w:p>
    <w:bookmarkStart w:id="137" w:name="P137"/>
    <w:bookmarkEnd w:id="137"/>
    <w:p>
      <w:pPr>
        <w:pStyle w:val="0"/>
        <w:spacing w:before="240" w:line-rule="auto"/>
        <w:ind w:firstLine="540"/>
        <w:jc w:val="both"/>
      </w:pPr>
      <w:r>
        <w:rPr>
          <w:sz w:val="24"/>
        </w:rPr>
        <w:t xml:space="preserve">д) протоколы испытаний и акты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которые включаются также в перечень документов, предусмотренный </w:t>
      </w:r>
      <w:hyperlink w:history="0" w:anchor="P126" w:tooltip="г) перечень документов, представление которых осуществляется в ходе осмотра допускаемого объекта:">
        <w:r>
          <w:rPr>
            <w:sz w:val="24"/>
            <w:color w:val="0000ff"/>
          </w:rPr>
          <w:t xml:space="preserve">подпунктом "г"</w:t>
        </w:r>
      </w:hyperlink>
      <w:r>
        <w:rPr>
          <w:sz w:val="24"/>
        </w:rPr>
        <w:t xml:space="preserve"> настоящего пункта;</w:t>
      </w:r>
    </w:p>
    <w:p>
      <w:pPr>
        <w:pStyle w:val="0"/>
        <w:jc w:val="both"/>
      </w:pPr>
      <w:r>
        <w:rPr>
          <w:sz w:val="24"/>
        </w:rPr>
        <w:t xml:space="preserve">(в ред. </w:t>
      </w:r>
      <w:hyperlink w:history="0" r:id="rId43"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е) копия документа, подтверждающего успешное проведение комплексного опробования в соответствии с требованиями нормативных правовых актов в сфере электроэнергетики (при получении разрешения на допуск в эксплуатацию, в случае если ранее на вводимый объект выдавалось временное разрешение).</w:t>
      </w:r>
    </w:p>
    <w:p>
      <w:pPr>
        <w:pStyle w:val="0"/>
        <w:spacing w:before="240" w:line-rule="auto"/>
        <w:ind w:firstLine="540"/>
        <w:jc w:val="both"/>
      </w:pPr>
      <w:r>
        <w:rPr>
          <w:sz w:val="24"/>
        </w:rPr>
        <w:t xml:space="preserve">16. К заявлению о выдаче временного разрешения прилагаются документы, указанные в </w:t>
      </w:r>
      <w:hyperlink w:history="0" w:anchor="P122"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пускаемый объект не зарегистрированы). В случае если соответствующие права зарегистрированы в Едином государственном реестре недвижимости, представление копий документов, подтверждающих владение на праве собственности или ином законном основании доп...">
        <w:r>
          <w:rPr>
            <w:sz w:val="24"/>
            <w:color w:val="0000ff"/>
          </w:rPr>
          <w:t xml:space="preserve">подпунктах "а"</w:t>
        </w:r>
      </w:hyperlink>
      <w:r>
        <w:rPr>
          <w:sz w:val="24"/>
        </w:rPr>
        <w:t xml:space="preserve"> - </w:t>
      </w:r>
      <w:hyperlink w:history="0" w:anchor="P137" w:tooltip="д) протоколы испытаний и акты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которые включаются также в перечень документов, предусмотренный подпунктом &quot;г&quot; настоящего пункта;">
        <w:r>
          <w:rPr>
            <w:sz w:val="24"/>
            <w:color w:val="0000ff"/>
          </w:rPr>
          <w:t xml:space="preserve">"д" пункта 15</w:t>
        </w:r>
      </w:hyperlink>
      <w:r>
        <w:rPr>
          <w:sz w:val="24"/>
        </w:rPr>
        <w:t xml:space="preserve"> настоящих Правил.</w:t>
      </w:r>
    </w:p>
    <w:p>
      <w:pPr>
        <w:pStyle w:val="0"/>
        <w:spacing w:before="240" w:line-rule="auto"/>
        <w:ind w:firstLine="540"/>
        <w:jc w:val="both"/>
      </w:pPr>
      <w:r>
        <w:rPr>
          <w:sz w:val="24"/>
        </w:rPr>
        <w:t xml:space="preserve">В случае если на энергопринимающую установку было выдано временное разрешение, к заявлению о выдаче разрешения на допуск дополнительно к документам, предусмотренным </w:t>
      </w:r>
      <w:hyperlink w:history="0" w:anchor="P126" w:tooltip="г) перечень документов, представление которых осуществляется в ходе осмотра допускаемого объекта:">
        <w:r>
          <w:rPr>
            <w:sz w:val="24"/>
            <w:color w:val="0000ff"/>
          </w:rPr>
          <w:t xml:space="preserve">подпунктами "г"</w:t>
        </w:r>
      </w:hyperlink>
      <w:r>
        <w:rPr>
          <w:sz w:val="24"/>
        </w:rPr>
        <w:t xml:space="preserve"> и </w:t>
      </w:r>
      <w:hyperlink w:history="0" w:anchor="P137" w:tooltip="д) протоколы испытаний и акты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которые включаются также в перечень документов, предусмотренный подпунктом &quot;г&quot; настоящего пункта;">
        <w:r>
          <w:rPr>
            <w:sz w:val="24"/>
            <w:color w:val="0000ff"/>
          </w:rPr>
          <w:t xml:space="preserve">"д" пункта 15</w:t>
        </w:r>
      </w:hyperlink>
      <w:r>
        <w:rPr>
          <w:sz w:val="24"/>
        </w:rPr>
        <w:t xml:space="preserve"> настоящих Правил, включаются документы, представленные ранее при выдаче временного разрешения, если в них вносились изменения.</w:t>
      </w:r>
    </w:p>
    <w:p>
      <w:pPr>
        <w:pStyle w:val="0"/>
        <w:spacing w:before="240" w:line-rule="auto"/>
        <w:ind w:firstLine="540"/>
        <w:jc w:val="both"/>
      </w:pPr>
      <w:r>
        <w:rPr>
          <w:sz w:val="24"/>
        </w:rPr>
        <w:t xml:space="preserve">К заявлению о выдаче разрешения на допуск в эксплуатацию энергопринимающих установок физического лица, которые используются для бытовых и иных нужд, не связанных с осуществлением предпринимательской деятельности, прилагаются документы, указанные в </w:t>
      </w:r>
      <w:hyperlink w:history="0" w:anchor="P122"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пускаемый объект не зарегистрированы). В случае если соответствующие права зарегистрированы в Едином государственном реестре недвижимости, представление копий документов, подтверждающих владение на праве собственности или ином законном основании доп...">
        <w:r>
          <w:rPr>
            <w:sz w:val="24"/>
            <w:color w:val="0000ff"/>
          </w:rPr>
          <w:t xml:space="preserve">подпункте "а"</w:t>
        </w:r>
      </w:hyperlink>
      <w:r>
        <w:rPr>
          <w:sz w:val="24"/>
        </w:rPr>
        <w:t xml:space="preserve">, </w:t>
      </w:r>
      <w:hyperlink w:history="0" w:anchor="P127" w:tooltip="однолинейные схемы первичных электрических соединений;">
        <w:r>
          <w:rPr>
            <w:sz w:val="24"/>
            <w:color w:val="0000ff"/>
          </w:rPr>
          <w:t xml:space="preserve">абзаце втором подпункта "г"</w:t>
        </w:r>
      </w:hyperlink>
      <w:r>
        <w:rPr>
          <w:sz w:val="24"/>
        </w:rPr>
        <w:t xml:space="preserve"> и </w:t>
      </w:r>
      <w:hyperlink w:history="0" w:anchor="P137" w:tooltip="д) протоколы испытаний и акты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которые включаются также в перечень документов, предусмотренный подпунктом &quot;г&quot; настоящего пункта;">
        <w:r>
          <w:rPr>
            <w:sz w:val="24"/>
            <w:color w:val="0000ff"/>
          </w:rPr>
          <w:t xml:space="preserve">подпункте "д" пункта 15</w:t>
        </w:r>
      </w:hyperlink>
      <w:r>
        <w:rPr>
          <w:sz w:val="24"/>
        </w:rPr>
        <w:t xml:space="preserve"> настоящих Правил.</w:t>
      </w:r>
    </w:p>
    <w:p>
      <w:pPr>
        <w:pStyle w:val="0"/>
        <w:jc w:val="both"/>
      </w:pPr>
      <w:r>
        <w:rPr>
          <w:sz w:val="24"/>
        </w:rPr>
        <w:t xml:space="preserve">(в ред. </w:t>
      </w:r>
      <w:hyperlink w:history="0" r:id="rId44"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Выдача Федеральной службой безопасности Российской Федерации и Министерством обороны Российской Федерации временного разрешения на допуск в эксплуатацию может осуществляться только на основании заявления о выдаче временного разрешения на допуск, а также документов, указанных в </w:t>
      </w:r>
      <w:hyperlink w:history="0" w:anchor="P122"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пускаемый объект не зарегистрированы). В случае если соответствующие права зарегистрированы в Едином государственном реестре недвижимости, представление копий документов, подтверждающих владение на праве собственности или ином законном основании доп...">
        <w:r>
          <w:rPr>
            <w:sz w:val="24"/>
            <w:color w:val="0000ff"/>
          </w:rPr>
          <w:t xml:space="preserve">подпунктах "а"</w:t>
        </w:r>
      </w:hyperlink>
      <w:r>
        <w:rPr>
          <w:sz w:val="24"/>
        </w:rPr>
        <w:t xml:space="preserve"> - </w:t>
      </w:r>
      <w:hyperlink w:history="0" w:anchor="P137" w:tooltip="д) протоколы испытаний и акты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которые включаются также в перечень документов, предусмотренный подпунктом &quot;г&quot; настоящего пункта;">
        <w:r>
          <w:rPr>
            <w:sz w:val="24"/>
            <w:color w:val="0000ff"/>
          </w:rPr>
          <w:t xml:space="preserve">"д" пункта 15</w:t>
        </w:r>
      </w:hyperlink>
      <w:r>
        <w:rPr>
          <w:sz w:val="24"/>
        </w:rPr>
        <w:t xml:space="preserve"> настоящих Правил, без проведения осмотра.</w:t>
      </w:r>
    </w:p>
    <w:p>
      <w:pPr>
        <w:pStyle w:val="0"/>
        <w:jc w:val="both"/>
      </w:pPr>
      <w:r>
        <w:rPr>
          <w:sz w:val="24"/>
        </w:rPr>
        <w:t xml:space="preserve">(абзац введен </w:t>
      </w:r>
      <w:hyperlink w:history="0" r:id="rId45"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Постановлением</w:t>
        </w:r>
      </w:hyperlink>
      <w:r>
        <w:rPr>
          <w:sz w:val="24"/>
        </w:rPr>
        <w:t xml:space="preserve"> Правительства РФ от 04.12.2024 N 1711)</w:t>
      </w:r>
    </w:p>
    <w:bookmarkStart w:id="146" w:name="P146"/>
    <w:bookmarkEnd w:id="146"/>
    <w:p>
      <w:pPr>
        <w:pStyle w:val="0"/>
        <w:spacing w:before="240" w:line-rule="auto"/>
        <w:ind w:firstLine="540"/>
        <w:jc w:val="both"/>
      </w:pPr>
      <w:r>
        <w:rPr>
          <w:sz w:val="24"/>
        </w:rPr>
        <w:t xml:space="preserve">17. Для объекта теплоснабжения, теплопотребляющей установки к заявлению о выдаче разрешения на допуск прилагаются следующие документы:</w:t>
      </w:r>
    </w:p>
    <w:bookmarkStart w:id="147" w:name="P147"/>
    <w:bookmarkEnd w:id="147"/>
    <w:p>
      <w:pPr>
        <w:pStyle w:val="0"/>
        <w:spacing w:before="240" w:line-rule="auto"/>
        <w:ind w:firstLine="540"/>
        <w:jc w:val="both"/>
      </w:pPr>
      <w:r>
        <w:rPr>
          <w:sz w:val="24"/>
        </w:rPr>
        <w:t xml:space="preserve">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допускаемый объект не зарегистрированы). В случае если соответствующие права зарегистрированы в Едином государственном реестре недвижимости, представление копий документов, подтверждающих владение на праве собственности или ином законном основании допускаемым объектом или земельным участком, не требуется, а в заявлении о выдаче разрешения на допуск указываются кадастровые номера допускаемого объекта или земельного участка;</w:t>
      </w:r>
    </w:p>
    <w:p>
      <w:pPr>
        <w:pStyle w:val="0"/>
        <w:jc w:val="both"/>
      </w:pPr>
      <w:r>
        <w:rPr>
          <w:sz w:val="24"/>
        </w:rPr>
        <w:t xml:space="preserve">(в ред. </w:t>
      </w:r>
      <w:hyperlink w:history="0" r:id="rId46"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б) утратил силу с 1 марта 2025 года. - </w:t>
      </w:r>
      <w:hyperlink w:history="0" r:id="rId47"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Постановление</w:t>
        </w:r>
      </w:hyperlink>
      <w:r>
        <w:rPr>
          <w:sz w:val="24"/>
        </w:rPr>
        <w:t xml:space="preserve"> Правительства РФ от 04.12.2024 N 1711;</w:t>
      </w:r>
    </w:p>
    <w:bookmarkStart w:id="150" w:name="P150"/>
    <w:bookmarkEnd w:id="150"/>
    <w:p>
      <w:pPr>
        <w:pStyle w:val="0"/>
        <w:spacing w:before="240" w:line-rule="auto"/>
        <w:ind w:firstLine="540"/>
        <w:jc w:val="both"/>
      </w:pPr>
      <w:r>
        <w:rPr>
          <w:sz w:val="24"/>
        </w:rPr>
        <w:t xml:space="preserve">в) перечень документов, представление которых осуществляется в ходе осмотра допускаемого объекта:</w:t>
      </w:r>
    </w:p>
    <w:p>
      <w:pPr>
        <w:pStyle w:val="0"/>
        <w:spacing w:before="240" w:line-rule="auto"/>
        <w:ind w:firstLine="540"/>
        <w:jc w:val="both"/>
      </w:pPr>
      <w:r>
        <w:rPr>
          <w:sz w:val="24"/>
        </w:rPr>
        <w:t xml:space="preserve">исполнительные схемы и профили участков сетей инженерно-технического обеспечения (для объекта теплоснабжения);</w:t>
      </w:r>
    </w:p>
    <w:p>
      <w:pPr>
        <w:pStyle w:val="0"/>
        <w:spacing w:before="240" w:line-rule="auto"/>
        <w:ind w:firstLine="540"/>
        <w:jc w:val="both"/>
      </w:pPr>
      <w:r>
        <w:rPr>
          <w:sz w:val="24"/>
        </w:rPr>
        <w:t xml:space="preserve">инструкции по охране труда для оперативного, оперативно-ремонтного персонала допускаемого объекта;</w:t>
      </w:r>
    </w:p>
    <w:p>
      <w:pPr>
        <w:pStyle w:val="0"/>
        <w:spacing w:before="240" w:line-rule="auto"/>
        <w:ind w:firstLine="540"/>
        <w:jc w:val="both"/>
      </w:pPr>
      <w:r>
        <w:rPr>
          <w:sz w:val="24"/>
        </w:rPr>
        <w:t xml:space="preserve">должностные инструкции оперативного, оперативно-ремонтного персонала по каждому рабочему месту;</w:t>
      </w:r>
    </w:p>
    <w:p>
      <w:pPr>
        <w:pStyle w:val="0"/>
        <w:spacing w:before="240" w:line-rule="auto"/>
        <w:ind w:firstLine="540"/>
        <w:jc w:val="both"/>
      </w:pPr>
      <w:r>
        <w:rPr>
          <w:sz w:val="24"/>
        </w:rPr>
        <w:t xml:space="preserve">договор на эксплуатационное обслуживание, в том числе управление оборудованием объекта теплоснабжения, с эксплуатирующей организацией - при отсутствии у заявителя собственного эксплуатирующего персонала (на объекте представляются копии 1-го листа и листа с подписями сторон);</w:t>
      </w:r>
    </w:p>
    <w:p>
      <w:pPr>
        <w:pStyle w:val="0"/>
        <w:spacing w:before="240" w:line-rule="auto"/>
        <w:ind w:firstLine="540"/>
        <w:jc w:val="both"/>
      </w:pPr>
      <w:r>
        <w:rPr>
          <w:sz w:val="24"/>
        </w:rPr>
        <w:t xml:space="preserve">перечень лиц оперативного и оперативно-ремонтного персонала, которым разрешено ведение оперативных переговоров и переключений;</w:t>
      </w:r>
    </w:p>
    <w:p>
      <w:pPr>
        <w:pStyle w:val="0"/>
        <w:spacing w:before="240" w:line-rule="auto"/>
        <w:ind w:firstLine="540"/>
        <w:jc w:val="both"/>
      </w:pPr>
      <w:r>
        <w:rPr>
          <w:sz w:val="24"/>
        </w:rPr>
        <w:t xml:space="preserve">организационно-распорядительный документ о назначении ответственного за исправное состояние и безопасную эксплуатацию объекта теплоснабжения или теплопотребляющей установки и лица, его замещающего;</w:t>
      </w:r>
    </w:p>
    <w:p>
      <w:pPr>
        <w:pStyle w:val="0"/>
        <w:spacing w:before="240" w:line-rule="auto"/>
        <w:ind w:firstLine="540"/>
        <w:jc w:val="both"/>
      </w:pPr>
      <w:r>
        <w:rPr>
          <w:sz w:val="24"/>
        </w:rPr>
        <w:t xml:space="preserve">организационно-распорядительные документы, подтверждающие наличие допуска к самостоятельной работе оперативного, оперативно-ремонтного персонала, ответственного за исправное состояние и безопасную эксплуатацию на допускаемом объекте;</w:t>
      </w:r>
    </w:p>
    <w:p>
      <w:pPr>
        <w:pStyle w:val="0"/>
        <w:spacing w:before="240" w:line-rule="auto"/>
        <w:ind w:firstLine="540"/>
        <w:jc w:val="both"/>
      </w:pPr>
      <w:r>
        <w:rPr>
          <w:sz w:val="24"/>
        </w:rPr>
        <w:t xml:space="preserve">список имеющихся в наличии защитных средств в соответствии с правилами охраны труда;</w:t>
      </w:r>
    </w:p>
    <w:p>
      <w:pPr>
        <w:pStyle w:val="0"/>
        <w:spacing w:before="240" w:line-rule="auto"/>
        <w:ind w:firstLine="540"/>
        <w:jc w:val="both"/>
      </w:pPr>
      <w:r>
        <w:rPr>
          <w:sz w:val="24"/>
        </w:rPr>
        <w:t xml:space="preserve">инструкции по эксплуатации в объеме технических решений, соответствующем заявлению о выдаче разрешения на допуск;</w:t>
      </w:r>
    </w:p>
    <w:p>
      <w:pPr>
        <w:pStyle w:val="0"/>
        <w:spacing w:before="240" w:line-rule="auto"/>
        <w:ind w:firstLine="540"/>
        <w:jc w:val="both"/>
      </w:pPr>
      <w:r>
        <w:rPr>
          <w:sz w:val="24"/>
        </w:rPr>
        <w:t xml:space="preserve">журнал (оперативный, распоряжений, заявок на вывод оборудования в ремонт, для испытаний, технического диагностирования, проверки знаний, вводного инструктажа по охране труда электротехнического персонала, учета и содержания средств защиты, учета работ по нарядам и распоряжениям (на объекте представляется на бумажном носителе или в электронном виде);</w:t>
      </w:r>
    </w:p>
    <w:bookmarkStart w:id="161" w:name="P161"/>
    <w:bookmarkEnd w:id="161"/>
    <w:p>
      <w:pPr>
        <w:pStyle w:val="0"/>
        <w:spacing w:before="240" w:line-rule="auto"/>
        <w:ind w:firstLine="540"/>
        <w:jc w:val="both"/>
      </w:pPr>
      <w:r>
        <w:rPr>
          <w:sz w:val="24"/>
        </w:rPr>
        <w:t xml:space="preserve">г) акт о готовности внутриплощадочных и внутридомовых сетей и оборудования подключаемого объекта к подаче тепловой энергии и теплоносителя в случае подключения (технологического присоединения) объекта теплоснабжения, теплопотребляющей установки к тепловым сетям, утвержденная программа прогрева и пуска в эксплуатацию объекта теплоснабжения (для объекта теплоснабжения), акты испытаний и опробования технических устройств, систем инженерно-технического обеспечения (индивидуальных испытаний оборудования и функциональных испытаний отдельных систем, не требующих подключения объекта, оборудования к внешней тепловой сети), документы, оформленные по результатам проведенных пусконаладочных работ с подключением объекта, оборудования к внешней тепловой сети (акты, протоколы пусконаладочных работ, в случае если их проведение требуется в соответствии с нормативными правовыми актами в сфере теплоснабжения, а также документацией изготовителя), которые включаются также в перечень документов, предусмотренный </w:t>
      </w:r>
      <w:hyperlink w:history="0" w:anchor="P150" w:tooltip="в) перечень документов, представление которых осуществляется в ходе осмотра допускаемого объекта:">
        <w:r>
          <w:rPr>
            <w:sz w:val="24"/>
            <w:color w:val="0000ff"/>
          </w:rPr>
          <w:t xml:space="preserve">подпунктом "в"</w:t>
        </w:r>
      </w:hyperlink>
      <w:r>
        <w:rPr>
          <w:sz w:val="24"/>
        </w:rPr>
        <w:t xml:space="preserve"> настоящего пункта;</w:t>
      </w:r>
    </w:p>
    <w:p>
      <w:pPr>
        <w:pStyle w:val="0"/>
        <w:jc w:val="both"/>
      </w:pPr>
      <w:r>
        <w:rPr>
          <w:sz w:val="24"/>
        </w:rPr>
        <w:t xml:space="preserve">(в ред. </w:t>
      </w:r>
      <w:hyperlink w:history="0" r:id="rId48"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д) копия документа, подтверждающего успешное проведение комплексного опробования в соответствии с требованиями нормативных правовых актов в сфере теплоснабжения (при получении разрешения на допуск в эксплуатацию энергоустановки, в случае если ранее на вводимый объект выдавалось временное разрешение);</w:t>
      </w:r>
    </w:p>
    <w:bookmarkStart w:id="164" w:name="P164"/>
    <w:bookmarkEnd w:id="164"/>
    <w:p>
      <w:pPr>
        <w:pStyle w:val="0"/>
        <w:spacing w:before="240" w:line-rule="auto"/>
        <w:ind w:firstLine="540"/>
        <w:jc w:val="both"/>
      </w:pPr>
      <w:r>
        <w:rPr>
          <w:sz w:val="24"/>
        </w:rPr>
        <w:t xml:space="preserve">е) акт о готовности оборудования, работающего под давлением, к вводу в эксплуатацию, оформленный в соответствии с федеральными нормами и правилами в области промышленной безопасности.</w:t>
      </w:r>
    </w:p>
    <w:p>
      <w:pPr>
        <w:pStyle w:val="0"/>
        <w:jc w:val="both"/>
      </w:pPr>
      <w:r>
        <w:rPr>
          <w:sz w:val="24"/>
        </w:rPr>
        <w:t xml:space="preserve">(пп. "е" введен </w:t>
      </w:r>
      <w:hyperlink w:history="0" r:id="rId49"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quot; {КонсультантПлюс}">
        <w:r>
          <w:rPr>
            <w:sz w:val="24"/>
            <w:color w:val="0000ff"/>
          </w:rPr>
          <w:t xml:space="preserve">Постановлением</w:t>
        </w:r>
      </w:hyperlink>
      <w:r>
        <w:rPr>
          <w:sz w:val="24"/>
        </w:rPr>
        <w:t xml:space="preserve"> Правительства РФ от 22.10.2021 N 1813)</w:t>
      </w:r>
    </w:p>
    <w:p>
      <w:pPr>
        <w:pStyle w:val="0"/>
        <w:spacing w:before="240" w:line-rule="auto"/>
        <w:ind w:firstLine="540"/>
        <w:jc w:val="both"/>
      </w:pPr>
      <w:r>
        <w:rPr>
          <w:sz w:val="24"/>
        </w:rPr>
        <w:t xml:space="preserve">18. К заявлению о выдаче временного разрешения прилагаются документы, указанные в </w:t>
      </w:r>
      <w:hyperlink w:history="0" w:anchor="P147"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пускаемый объект не зарегистрированы). В случае если соответствующие права зарегистрированы в Едином государственном реестре недвижимости, представление копий документов, подтверждающих владение на праве собственности или ином законном основании доп...">
        <w:r>
          <w:rPr>
            <w:sz w:val="24"/>
            <w:color w:val="0000ff"/>
          </w:rPr>
          <w:t xml:space="preserve">подпунктах "а"</w:t>
        </w:r>
      </w:hyperlink>
      <w:r>
        <w:rPr>
          <w:sz w:val="24"/>
        </w:rPr>
        <w:t xml:space="preserve"> - </w:t>
      </w:r>
      <w:hyperlink w:history="0" w:anchor="P161" w:tooltip="г) акт о готовности внутриплощадочных и внутридомовых сетей и оборудования подключаемого объекта к подаче тепловой энергии и теплоносителя в случае подключения (технологического присоединения) объекта теплоснабжения, теплопотребляющей установки к тепловым сетям, утвержденная программа прогрева и пуска в эксплуатацию объекта теплоснабжения (для объекта теплоснабжения), акты испытаний и опробования технических устройств, систем инженерно-технического обеспечения (индивидуальных испытаний оборудования и фун...">
        <w:r>
          <w:rPr>
            <w:sz w:val="24"/>
            <w:color w:val="0000ff"/>
          </w:rPr>
          <w:t xml:space="preserve">"г"</w:t>
        </w:r>
      </w:hyperlink>
      <w:r>
        <w:rPr>
          <w:sz w:val="24"/>
        </w:rPr>
        <w:t xml:space="preserve"> (кроме документов, оформленных по результатам проведенных пусконаладочных работ с подключением объекта, оборудования к внешней тепловой сети) пункта 17 настоящих Правил.</w:t>
      </w:r>
    </w:p>
    <w:p>
      <w:pPr>
        <w:pStyle w:val="0"/>
        <w:spacing w:before="240" w:line-rule="auto"/>
        <w:ind w:firstLine="540"/>
        <w:jc w:val="both"/>
      </w:pPr>
      <w:r>
        <w:rPr>
          <w:sz w:val="24"/>
        </w:rPr>
        <w:t xml:space="preserve">В случае если на объект теплоснабжения, теплопотребляющую установку было выдано временное разрешение, к заявлению о выдаче разрешения на допуск дополнительно к документам, предусмотренным </w:t>
      </w:r>
      <w:hyperlink w:history="0" w:anchor="P150" w:tooltip="в) перечень документов, представление которых осуществляется в ходе осмотра допускаемого объекта:">
        <w:r>
          <w:rPr>
            <w:sz w:val="24"/>
            <w:color w:val="0000ff"/>
          </w:rPr>
          <w:t xml:space="preserve">подпунктами "в"</w:t>
        </w:r>
      </w:hyperlink>
      <w:r>
        <w:rPr>
          <w:sz w:val="24"/>
        </w:rPr>
        <w:t xml:space="preserve">, </w:t>
      </w:r>
      <w:hyperlink w:history="0" w:anchor="P161" w:tooltip="г) акт о готовности внутриплощадочных и внутридомовых сетей и оборудования подключаемого объекта к подаче тепловой энергии и теплоносителя в случае подключения (технологического присоединения) объекта теплоснабжения, теплопотребляющей установки к тепловым сетям, утвержденная программа прогрева и пуска в эксплуатацию объекта теплоснабжения (для объекта теплоснабжения), акты испытаний и опробования технических устройств, систем инженерно-технического обеспечения (индивидуальных испытаний оборудования и фун...">
        <w:r>
          <w:rPr>
            <w:sz w:val="24"/>
            <w:color w:val="0000ff"/>
          </w:rPr>
          <w:t xml:space="preserve">"г"</w:t>
        </w:r>
      </w:hyperlink>
      <w:r>
        <w:rPr>
          <w:sz w:val="24"/>
        </w:rPr>
        <w:t xml:space="preserve"> и </w:t>
      </w:r>
      <w:hyperlink w:history="0" w:anchor="P164" w:tooltip="е) акт о готовности оборудования, работающего под давлением, к вводу в эксплуатацию, оформленный в соответствии с федеральными нормами и правилами в области промышленной безопасности.">
        <w:r>
          <w:rPr>
            <w:sz w:val="24"/>
            <w:color w:val="0000ff"/>
          </w:rPr>
          <w:t xml:space="preserve">"е" пункта 17</w:t>
        </w:r>
      </w:hyperlink>
      <w:r>
        <w:rPr>
          <w:sz w:val="24"/>
        </w:rPr>
        <w:t xml:space="preserve"> настоящих Правил, прилагаются документы, представленные ранее при выдаче временного разрешения, если в них вносились изменения, а также документы, оформленные по результатам проведенных пусконаладочных работ с подключением объекта, оборудования к внешней тепловой сети, предусмотренные </w:t>
      </w:r>
      <w:hyperlink w:history="0" w:anchor="P161" w:tooltip="г) акт о готовности внутриплощадочных и внутридомовых сетей и оборудования подключаемого объекта к подаче тепловой энергии и теплоносителя в случае подключения (технологического присоединения) объекта теплоснабжения, теплопотребляющей установки к тепловым сетям, утвержденная программа прогрева и пуска в эксплуатацию объекта теплоснабжения (для объекта теплоснабжения), акты испытаний и опробования технических устройств, систем инженерно-технического обеспечения (индивидуальных испытаний оборудования и фун...">
        <w:r>
          <w:rPr>
            <w:sz w:val="24"/>
            <w:color w:val="0000ff"/>
          </w:rPr>
          <w:t xml:space="preserve">подпунктом "г" пункта 17</w:t>
        </w:r>
      </w:hyperlink>
      <w:r>
        <w:rPr>
          <w:sz w:val="24"/>
        </w:rPr>
        <w:t xml:space="preserve"> настоящих Правил.</w:t>
      </w:r>
    </w:p>
    <w:p>
      <w:pPr>
        <w:pStyle w:val="0"/>
        <w:jc w:val="both"/>
      </w:pPr>
      <w:r>
        <w:rPr>
          <w:sz w:val="24"/>
        </w:rPr>
        <w:t xml:space="preserve">(в ред. Постановлений Правительства РФ от 22.10.2021 </w:t>
      </w:r>
      <w:hyperlink w:history="0" r:id="rId50"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quot; {КонсультантПлюс}">
        <w:r>
          <w:rPr>
            <w:sz w:val="24"/>
            <w:color w:val="0000ff"/>
          </w:rPr>
          <w:t xml:space="preserve">N 1813</w:t>
        </w:r>
      </w:hyperlink>
      <w:r>
        <w:rPr>
          <w:sz w:val="24"/>
        </w:rPr>
        <w:t xml:space="preserve">, от 04.12.2024 </w:t>
      </w:r>
      <w:hyperlink w:history="0" r:id="rId51"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N 1711</w:t>
        </w:r>
      </w:hyperlink>
      <w:r>
        <w:rPr>
          <w:sz w:val="24"/>
        </w:rPr>
        <w:t xml:space="preserve">)</w:t>
      </w:r>
    </w:p>
    <w:p>
      <w:pPr>
        <w:pStyle w:val="0"/>
        <w:spacing w:before="240" w:line-rule="auto"/>
        <w:ind w:firstLine="540"/>
        <w:jc w:val="both"/>
      </w:pPr>
      <w:r>
        <w:rPr>
          <w:sz w:val="24"/>
        </w:rPr>
        <w:t xml:space="preserve">Выдача Федеральной службой безопасности Российской Федерации временного разрешения на допуск в эксплуатацию может осуществляться только на основании заявления о выдаче временного разрешения на допуск и документов, указанных в </w:t>
      </w:r>
      <w:hyperlink w:history="0" w:anchor="P147"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пускаемый объект не зарегистрированы). В случае если соответствующие права зарегистрированы в Едином государственном реестре недвижимости, представление копий документов, подтверждающих владение на праве собственности или ином законном основании доп...">
        <w:r>
          <w:rPr>
            <w:sz w:val="24"/>
            <w:color w:val="0000ff"/>
          </w:rPr>
          <w:t xml:space="preserve">подпунктах "а"</w:t>
        </w:r>
      </w:hyperlink>
      <w:r>
        <w:rPr>
          <w:sz w:val="24"/>
        </w:rPr>
        <w:t xml:space="preserve"> - </w:t>
      </w:r>
      <w:hyperlink w:history="0" w:anchor="P161" w:tooltip="г) акт о готовности внутриплощадочных и внутридомовых сетей и оборудования подключаемого объекта к подаче тепловой энергии и теплоносителя в случае подключения (технологического присоединения) объекта теплоснабжения, теплопотребляющей установки к тепловым сетям, утвержденная программа прогрева и пуска в эксплуатацию объекта теплоснабжения (для объекта теплоснабжения), акты испытаний и опробования технических устройств, систем инженерно-технического обеспечения (индивидуальных испытаний оборудования и фун...">
        <w:r>
          <w:rPr>
            <w:sz w:val="24"/>
            <w:color w:val="0000ff"/>
          </w:rPr>
          <w:t xml:space="preserve">"г" пункта 17</w:t>
        </w:r>
      </w:hyperlink>
      <w:r>
        <w:rPr>
          <w:sz w:val="24"/>
        </w:rPr>
        <w:t xml:space="preserve"> настоящих Правил (кроме документов, оформленных по результатам проведенных пусконаладочных работ с подключением объекта, оборудования к внешней тепловой сети), без проведения осмотра.</w:t>
      </w:r>
    </w:p>
    <w:p>
      <w:pPr>
        <w:pStyle w:val="0"/>
        <w:jc w:val="both"/>
      </w:pPr>
      <w:r>
        <w:rPr>
          <w:sz w:val="24"/>
        </w:rPr>
        <w:t xml:space="preserve">(абзац введен </w:t>
      </w:r>
      <w:hyperlink w:history="0" r:id="rId52"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Постановлением</w:t>
        </w:r>
      </w:hyperlink>
      <w:r>
        <w:rPr>
          <w:sz w:val="24"/>
        </w:rPr>
        <w:t xml:space="preserve"> Правительства РФ от 04.12.2024 N 1711)</w:t>
      </w:r>
    </w:p>
    <w:bookmarkStart w:id="171" w:name="P171"/>
    <w:bookmarkEnd w:id="171"/>
    <w:p>
      <w:pPr>
        <w:pStyle w:val="0"/>
        <w:spacing w:before="240" w:line-rule="auto"/>
        <w:ind w:firstLine="540"/>
        <w:jc w:val="both"/>
      </w:pPr>
      <w:r>
        <w:rPr>
          <w:sz w:val="24"/>
        </w:rPr>
        <w:t xml:space="preserve">19. Для энергопринимающей установки, предназначенной для проведения испытаний электрооборудования повышенным напряжением (далее - электролаборатория), к заявлению о выдаче разрешения на допуск прилагаются:</w:t>
      </w:r>
    </w:p>
    <w:bookmarkStart w:id="172" w:name="P172"/>
    <w:bookmarkEnd w:id="172"/>
    <w:p>
      <w:pPr>
        <w:pStyle w:val="0"/>
        <w:spacing w:before="240" w:line-rule="auto"/>
        <w:ind w:firstLine="540"/>
        <w:jc w:val="both"/>
      </w:pPr>
      <w:r>
        <w:rPr>
          <w:sz w:val="24"/>
        </w:rPr>
        <w:t xml:space="preserve">а) копии документов, подтверждающих полномочия лица, представляющего заявителя, а также владение электролабораторией на праве собственности или ином законном основании;</w:t>
      </w:r>
    </w:p>
    <w:p>
      <w:pPr>
        <w:pStyle w:val="0"/>
        <w:spacing w:before="240" w:line-rule="auto"/>
        <w:ind w:firstLine="540"/>
        <w:jc w:val="both"/>
      </w:pPr>
      <w:r>
        <w:rPr>
          <w:sz w:val="24"/>
        </w:rPr>
        <w:t xml:space="preserve">б) копия положения о порядке безопасной эксплуатации электролаборатории;</w:t>
      </w:r>
    </w:p>
    <w:p>
      <w:pPr>
        <w:pStyle w:val="0"/>
        <w:spacing w:before="240" w:line-rule="auto"/>
        <w:ind w:firstLine="540"/>
        <w:jc w:val="both"/>
      </w:pPr>
      <w:r>
        <w:rPr>
          <w:sz w:val="24"/>
        </w:rPr>
        <w:t xml:space="preserve">в) перечень заявляемых видов испытаний, которые вносятся в интерактивной форме на едином портале;</w:t>
      </w:r>
    </w:p>
    <w:p>
      <w:pPr>
        <w:pStyle w:val="0"/>
        <w:jc w:val="both"/>
      </w:pPr>
      <w:r>
        <w:rPr>
          <w:sz w:val="24"/>
        </w:rPr>
        <w:t xml:space="preserve">(в ред. </w:t>
      </w:r>
      <w:hyperlink w:history="0" r:id="rId53"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bookmarkStart w:id="176" w:name="P176"/>
    <w:bookmarkEnd w:id="176"/>
    <w:p>
      <w:pPr>
        <w:pStyle w:val="0"/>
        <w:spacing w:before="240" w:line-rule="auto"/>
        <w:ind w:firstLine="540"/>
        <w:jc w:val="both"/>
      </w:pPr>
      <w:r>
        <w:rPr>
          <w:sz w:val="24"/>
        </w:rPr>
        <w:t xml:space="preserve">г) перечень документов, представление которых осуществляется в ходе осмотра допускаемого объекта:</w:t>
      </w:r>
    </w:p>
    <w:p>
      <w:pPr>
        <w:pStyle w:val="0"/>
        <w:spacing w:before="240" w:line-rule="auto"/>
        <w:ind w:firstLine="540"/>
        <w:jc w:val="both"/>
      </w:pPr>
      <w:r>
        <w:rPr>
          <w:sz w:val="24"/>
        </w:rPr>
        <w:t xml:space="preserve">программы и методики проведения заявляемых испытаний;</w:t>
      </w:r>
    </w:p>
    <w:p>
      <w:pPr>
        <w:pStyle w:val="0"/>
        <w:spacing w:before="240" w:line-rule="auto"/>
        <w:ind w:firstLine="540"/>
        <w:jc w:val="both"/>
      </w:pPr>
      <w:r>
        <w:rPr>
          <w:sz w:val="24"/>
        </w:rPr>
        <w:t xml:space="preserve">документы, подтверждающие допуск персонала, эксплуатирующего электролабораторию, к проведению испытаний;</w:t>
      </w:r>
    </w:p>
    <w:p>
      <w:pPr>
        <w:pStyle w:val="0"/>
        <w:spacing w:before="240" w:line-rule="auto"/>
        <w:ind w:firstLine="540"/>
        <w:jc w:val="both"/>
      </w:pPr>
      <w:r>
        <w:rPr>
          <w:sz w:val="24"/>
        </w:rPr>
        <w:t xml:space="preserve">принципиальная электрическая схема электролаборатории;</w:t>
      </w:r>
    </w:p>
    <w:p>
      <w:pPr>
        <w:pStyle w:val="0"/>
        <w:spacing w:before="240" w:line-rule="auto"/>
        <w:ind w:firstLine="540"/>
        <w:jc w:val="both"/>
      </w:pPr>
      <w:r>
        <w:rPr>
          <w:sz w:val="24"/>
        </w:rPr>
        <w:t xml:space="preserve">перечень средств измерений и испытательного оборудования;</w:t>
      </w:r>
    </w:p>
    <w:p>
      <w:pPr>
        <w:pStyle w:val="0"/>
        <w:spacing w:before="240" w:line-rule="auto"/>
        <w:ind w:firstLine="540"/>
        <w:jc w:val="both"/>
      </w:pPr>
      <w:r>
        <w:rPr>
          <w:sz w:val="24"/>
        </w:rPr>
        <w:t xml:space="preserve">список имеющихся в наличии защитных средств (с копиями документов, подтверждающих проведенные испытания);</w:t>
      </w:r>
    </w:p>
    <w:p>
      <w:pPr>
        <w:pStyle w:val="0"/>
        <w:spacing w:before="240" w:line-rule="auto"/>
        <w:ind w:firstLine="540"/>
        <w:jc w:val="both"/>
      </w:pPr>
      <w:r>
        <w:rPr>
          <w:sz w:val="24"/>
        </w:rPr>
        <w:t xml:space="preserve">инструкции по охране труда и должностные инструкции персонала, эксплуатирующего электролабораторию.</w:t>
      </w:r>
    </w:p>
    <w:p>
      <w:pPr>
        <w:pStyle w:val="0"/>
        <w:spacing w:before="240" w:line-rule="auto"/>
        <w:ind w:firstLine="540"/>
        <w:jc w:val="both"/>
      </w:pPr>
      <w:r>
        <w:rPr>
          <w:sz w:val="24"/>
        </w:rPr>
        <w:t xml:space="preserve">20. Не допускается требовать от заявителя представления сведений и документов, не предусмотренных </w:t>
      </w:r>
      <w:hyperlink w:history="0" w:anchor="P93" w:tooltip="13. Для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 к заявлению о выдаче разрешения на допуск прилагаются следующие документы:">
        <w:r>
          <w:rPr>
            <w:sz w:val="24"/>
            <w:color w:val="0000ff"/>
          </w:rPr>
          <w:t xml:space="preserve">пунктами 13</w:t>
        </w:r>
      </w:hyperlink>
      <w:r>
        <w:rPr>
          <w:sz w:val="24"/>
        </w:rPr>
        <w:t xml:space="preserve">, </w:t>
      </w:r>
      <w:hyperlink w:history="0" w:anchor="P121" w:tooltip="15. Для энергопринимающей установки к заявлению о выдаче разрешения на допуск прилагаются следующие документы:">
        <w:r>
          <w:rPr>
            <w:sz w:val="24"/>
            <w:color w:val="0000ff"/>
          </w:rPr>
          <w:t xml:space="preserve">15</w:t>
        </w:r>
      </w:hyperlink>
      <w:r>
        <w:rPr>
          <w:sz w:val="24"/>
        </w:rPr>
        <w:t xml:space="preserve">, </w:t>
      </w:r>
      <w:hyperlink w:history="0" w:anchor="P146" w:tooltip="17. Для объекта теплоснабжения, теплопотребляющей установки к заявлению о выдаче разрешения на допуск прилагаются следующие документы:">
        <w:r>
          <w:rPr>
            <w:sz w:val="24"/>
            <w:color w:val="0000ff"/>
          </w:rPr>
          <w:t xml:space="preserve">17</w:t>
        </w:r>
      </w:hyperlink>
      <w:r>
        <w:rPr>
          <w:sz w:val="24"/>
        </w:rPr>
        <w:t xml:space="preserve"> и </w:t>
      </w:r>
      <w:hyperlink w:history="0" w:anchor="P171" w:tooltip="19. Для энергопринимающей установки, предназначенной для проведения испытаний электрооборудования повышенным напряжением (далее - электролаборатория), к заявлению о выдаче разрешения на допуск прилагаются:">
        <w:r>
          <w:rPr>
            <w:sz w:val="24"/>
            <w:color w:val="0000ff"/>
          </w:rPr>
          <w:t xml:space="preserve">19</w:t>
        </w:r>
      </w:hyperlink>
      <w:r>
        <w:rPr>
          <w:sz w:val="24"/>
        </w:rPr>
        <w:t xml:space="preserve"> настоящих Правил.</w:t>
      </w:r>
    </w:p>
    <w:p>
      <w:pPr>
        <w:pStyle w:val="0"/>
        <w:spacing w:before="240" w:line-rule="auto"/>
        <w:ind w:firstLine="540"/>
        <w:jc w:val="both"/>
      </w:pPr>
      <w:r>
        <w:rPr>
          <w:sz w:val="24"/>
        </w:rPr>
        <w:t xml:space="preserve">Копии проектной и рабочей документации могут запрашиваться для информации и не подлежат проверке и оценке.</w:t>
      </w:r>
    </w:p>
    <w:bookmarkStart w:id="185" w:name="P185"/>
    <w:bookmarkEnd w:id="185"/>
    <w:p>
      <w:pPr>
        <w:pStyle w:val="0"/>
        <w:spacing w:before="240" w:line-rule="auto"/>
        <w:ind w:firstLine="540"/>
        <w:jc w:val="both"/>
      </w:pPr>
      <w:r>
        <w:rPr>
          <w:sz w:val="24"/>
        </w:rPr>
        <w:t xml:space="preserve">Документы, включенные в перечни, предусмотренные </w:t>
      </w:r>
      <w:hyperlink w:history="0" w:anchor="P101" w:tooltip="г) перечень документов, представление которых осуществляется в ходе осмотра допускаемого объекта:">
        <w:r>
          <w:rPr>
            <w:sz w:val="24"/>
            <w:color w:val="0000ff"/>
          </w:rPr>
          <w:t xml:space="preserve">подпунктами "г"</w:t>
        </w:r>
      </w:hyperlink>
      <w:r>
        <w:rPr>
          <w:sz w:val="24"/>
        </w:rPr>
        <w:t xml:space="preserve"> и </w:t>
      </w:r>
      <w:hyperlink w:history="0" w:anchor="P111" w:tooltip="д) акты испытаний и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документы, оформленные по результатам проведенных пусконаладочных работ с подключением объекта, оборудования к внешней электрической сети (акты, протоколы пусконаладочных работ - в случае если их проведение требуется в соответствии с нормативными право...">
        <w:r>
          <w:rPr>
            <w:sz w:val="24"/>
            <w:color w:val="0000ff"/>
          </w:rPr>
          <w:t xml:space="preserve">"д" пункта 13</w:t>
        </w:r>
      </w:hyperlink>
      <w:r>
        <w:rPr>
          <w:sz w:val="24"/>
        </w:rPr>
        <w:t xml:space="preserve">, </w:t>
      </w:r>
      <w:hyperlink w:history="0" w:anchor="P126" w:tooltip="г) перечень документов, представление которых осуществляется в ходе осмотра допускаемого объекта:">
        <w:r>
          <w:rPr>
            <w:sz w:val="24"/>
            <w:color w:val="0000ff"/>
          </w:rPr>
          <w:t xml:space="preserve">подпунктами "г"</w:t>
        </w:r>
      </w:hyperlink>
      <w:r>
        <w:rPr>
          <w:sz w:val="24"/>
        </w:rPr>
        <w:t xml:space="preserve"> и </w:t>
      </w:r>
      <w:hyperlink w:history="0" w:anchor="P137" w:tooltip="д) протоколы испытаний и акты опробования систем инженерно-технического обеспечения, электрооборудования, индивидуальных испытаний оборудования и функциональных испытаний отдельных систем, не требующих подключения объекта, оборудования к внешней электрической сети, которые включаются также в перечень документов, предусмотренный подпунктом &quot;г&quot; настоящего пункта;">
        <w:r>
          <w:rPr>
            <w:sz w:val="24"/>
            <w:color w:val="0000ff"/>
          </w:rPr>
          <w:t xml:space="preserve">"д" пункта 15</w:t>
        </w:r>
      </w:hyperlink>
      <w:r>
        <w:rPr>
          <w:sz w:val="24"/>
        </w:rPr>
        <w:t xml:space="preserve">, </w:t>
      </w:r>
      <w:hyperlink w:history="0" w:anchor="P150" w:tooltip="в) перечень документов, представление которых осуществляется в ходе осмотра допускаемого объекта:">
        <w:r>
          <w:rPr>
            <w:sz w:val="24"/>
            <w:color w:val="0000ff"/>
          </w:rPr>
          <w:t xml:space="preserve">подпунктами "в"</w:t>
        </w:r>
      </w:hyperlink>
      <w:r>
        <w:rPr>
          <w:sz w:val="24"/>
        </w:rPr>
        <w:t xml:space="preserve"> и </w:t>
      </w:r>
      <w:hyperlink w:history="0" w:anchor="P161" w:tooltip="г) акт о готовности внутриплощадочных и внутридомовых сетей и оборудования подключаемого объекта к подаче тепловой энергии и теплоносителя в случае подключения (технологического присоединения) объекта теплоснабжения, теплопотребляющей установки к тепловым сетям, утвержденная программа прогрева и пуска в эксплуатацию объекта теплоснабжения (для объекта теплоснабжения), акты испытаний и опробования технических устройств, систем инженерно-технического обеспечения (индивидуальных испытаний оборудования и фун...">
        <w:r>
          <w:rPr>
            <w:sz w:val="24"/>
            <w:color w:val="0000ff"/>
          </w:rPr>
          <w:t xml:space="preserve">"г" пункта 17</w:t>
        </w:r>
      </w:hyperlink>
      <w:r>
        <w:rPr>
          <w:sz w:val="24"/>
        </w:rPr>
        <w:t xml:space="preserve"> и </w:t>
      </w:r>
      <w:hyperlink w:history="0" w:anchor="P176" w:tooltip="г) перечень документов, представление которых осуществляется в ходе осмотра допускаемого объекта:">
        <w:r>
          <w:rPr>
            <w:sz w:val="24"/>
            <w:color w:val="0000ff"/>
          </w:rPr>
          <w:t xml:space="preserve">подпунктом "г" пункта 19</w:t>
        </w:r>
      </w:hyperlink>
      <w:r>
        <w:rPr>
          <w:sz w:val="24"/>
        </w:rPr>
        <w:t xml:space="preserve"> настоящих Правил, к заявлению о выдаче разрешения на допуск не прилагаются.</w:t>
      </w:r>
    </w:p>
    <w:p>
      <w:pPr>
        <w:pStyle w:val="0"/>
        <w:jc w:val="both"/>
      </w:pPr>
      <w:r>
        <w:rPr>
          <w:sz w:val="24"/>
        </w:rPr>
        <w:t xml:space="preserve">(в ред. </w:t>
      </w:r>
      <w:hyperlink w:history="0" r:id="rId54"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Порядок рассмотрения документов, их учета при принятии решения о выдаче или об отказе в выдаче разрешения на допуск устанавливается административным </w:t>
      </w:r>
      <w:hyperlink w:history="0" r:id="rId55" w:tooltip="Приказ Ростехнадзора от 28.05.2021 N 194 &quot;Об утверждении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выдаче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quot; (Зарегистрировано в Минюсте России 20.10.2021 N 65489) {КонсультантПлюс}">
        <w:r>
          <w:rPr>
            <w:sz w:val="24"/>
            <w:color w:val="0000ff"/>
          </w:rPr>
          <w:t xml:space="preserve">регламентом</w:t>
        </w:r>
      </w:hyperlink>
      <w:r>
        <w:rPr>
          <w:sz w:val="24"/>
        </w:rPr>
        <w:t xml:space="preserve"> по предоставлению органом федерального государственного энергетического надзора государственной услуги по выдаче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(за исключением случаев, когда решение о выдаче или об отказе в выдаче разрешения на допуск принимается Федеральной службой безопасности Российской Федерации).</w:t>
      </w:r>
    </w:p>
    <w:p>
      <w:pPr>
        <w:pStyle w:val="0"/>
        <w:jc w:val="both"/>
      </w:pPr>
      <w:r>
        <w:rPr>
          <w:sz w:val="24"/>
        </w:rPr>
        <w:t xml:space="preserve">(в ред. </w:t>
      </w:r>
      <w:hyperlink w:history="0" r:id="rId56" w:tooltip="Постановление Правительства РФ от 03.02.2023 N 159 (ред. от 20.10.202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03.02.2023 N 159)</w:t>
      </w:r>
    </w:p>
    <w:bookmarkStart w:id="189" w:name="P189"/>
    <w:bookmarkEnd w:id="189"/>
    <w:p>
      <w:pPr>
        <w:pStyle w:val="0"/>
        <w:spacing w:before="240" w:line-rule="auto"/>
        <w:ind w:firstLine="540"/>
        <w:jc w:val="both"/>
      </w:pPr>
      <w:r>
        <w:rPr>
          <w:sz w:val="24"/>
        </w:rPr>
        <w:t xml:space="preserve">21. При подаче заявления о выдаче разрешения на допуск на бумажном носителе орган федерального государственного энергетического надзора не позднее 2-го рабочего дня со дня его регистрации направляет на адрес электронной почты, указанный в заявлении о выдаче разрешения на допуск, подписанное усиленной квалифицированной электронной подписью уведомление (за исключением случаев, указанных в </w:t>
      </w:r>
      <w:hyperlink w:history="0" w:anchor="P53" w:tooltip="В случаях если федеральными органами исполнительной власти, уполномоченными на осуществление федерального государственного энергетического надзора (далее - органы федерального государственного энергетического надзора), являются Служба внешней разведки Российской Федерации, Федеральная служба охраны Российской Федерации, Федеральная служба безопасности Российской Федерации, Главное управление специальных программ Президента Российской Федерации и Министерство обороны Российской Федерации, разрешение на до...">
        <w:r>
          <w:rPr>
            <w:sz w:val="24"/>
            <w:color w:val="0000ff"/>
          </w:rPr>
          <w:t xml:space="preserve">абзаце втором пункта 2</w:t>
        </w:r>
      </w:hyperlink>
      <w:r>
        <w:rPr>
          <w:sz w:val="24"/>
        </w:rPr>
        <w:t xml:space="preserve"> настоящих Правил):</w:t>
      </w:r>
    </w:p>
    <w:bookmarkStart w:id="190" w:name="P190"/>
    <w:bookmarkEnd w:id="190"/>
    <w:p>
      <w:pPr>
        <w:pStyle w:val="0"/>
        <w:spacing w:before="240" w:line-rule="auto"/>
        <w:ind w:firstLine="540"/>
        <w:jc w:val="both"/>
      </w:pPr>
      <w:r>
        <w:rPr>
          <w:sz w:val="24"/>
        </w:rPr>
        <w:t xml:space="preserve">об оставлении заявления о выдаче разрешения на допуск без рассмотрения по основаниям, указанным в </w:t>
      </w:r>
      <w:hyperlink w:history="0" w:anchor="P193" w:tooltip="несоответствие заявления о выдаче разрешения на допуск установленной форме;">
        <w:r>
          <w:rPr>
            <w:sz w:val="24"/>
            <w:color w:val="0000ff"/>
          </w:rPr>
          <w:t xml:space="preserve">абзацах пятом</w:t>
        </w:r>
      </w:hyperlink>
      <w:r>
        <w:rPr>
          <w:sz w:val="24"/>
        </w:rPr>
        <w:t xml:space="preserve"> - </w:t>
      </w:r>
      <w:hyperlink w:history="0" w:anchor="P197" w:tooltip="наличие сведений и документов, прилагаемых к заявлению о выдаче разрешения на допуск, поданному в виде электронного документа, не подписанных простой электронной подписью, ключ которой получен в соответствии с 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quot;Об использовании простой электронной подписи при оказании государственных и муниципальных услуг&quot;, усилен...">
        <w:r>
          <w:rPr>
            <w:sz w:val="24"/>
            <w:color w:val="0000ff"/>
          </w:rPr>
          <w:t xml:space="preserve">девятом</w:t>
        </w:r>
      </w:hyperlink>
      <w:r>
        <w:rPr>
          <w:sz w:val="24"/>
        </w:rPr>
        <w:t xml:space="preserve"> настоящего пункта, с мотивированным обоснованием причин отказа, включая указание наименований недостающих документов, обязательных для представления в соответствии с настоящими Правилами, и предложением заявителю устранить имеющиеся замечания к заявлению о выдаче разрешения на допуск и (или) прилагаемым к нему документам;</w:t>
      </w:r>
    </w:p>
    <w:p>
      <w:pPr>
        <w:pStyle w:val="0"/>
        <w:spacing w:before="240" w:line-rule="auto"/>
        <w:ind w:firstLine="540"/>
        <w:jc w:val="both"/>
      </w:pPr>
      <w:r>
        <w:rPr>
          <w:sz w:val="24"/>
        </w:rPr>
        <w:t xml:space="preserve">о приеме заявления о выдаче разрешения на допуск к рассмотрению и предлагаемых дате и времени осмотра допускаемого объекта.</w:t>
      </w:r>
    </w:p>
    <w:p>
      <w:pPr>
        <w:pStyle w:val="0"/>
        <w:spacing w:before="240" w:line-rule="auto"/>
        <w:ind w:firstLine="540"/>
        <w:jc w:val="both"/>
      </w:pPr>
      <w:r>
        <w:rPr>
          <w:sz w:val="24"/>
        </w:rPr>
        <w:t xml:space="preserve">Основаниями для направления уведомления об оставлении заявления о выдаче разрешения на допуск без рассмотрения являются:</w:t>
      </w:r>
    </w:p>
    <w:bookmarkStart w:id="193" w:name="P193"/>
    <w:bookmarkEnd w:id="193"/>
    <w:p>
      <w:pPr>
        <w:pStyle w:val="0"/>
        <w:spacing w:before="240" w:line-rule="auto"/>
        <w:ind w:firstLine="540"/>
        <w:jc w:val="both"/>
      </w:pPr>
      <w:r>
        <w:rPr>
          <w:sz w:val="24"/>
        </w:rPr>
        <w:t xml:space="preserve">несоответствие заявления о выдаче разрешения на допуск установленной форме;</w:t>
      </w:r>
    </w:p>
    <w:p>
      <w:pPr>
        <w:pStyle w:val="0"/>
        <w:spacing w:before="240" w:line-rule="auto"/>
        <w:ind w:firstLine="540"/>
        <w:jc w:val="both"/>
      </w:pPr>
      <w:r>
        <w:rPr>
          <w:sz w:val="24"/>
        </w:rPr>
        <w:t xml:space="preserve">некомплектность прилагаемых к заявлению о выдаче разрешения на допуск документов;</w:t>
      </w:r>
    </w:p>
    <w:p>
      <w:pPr>
        <w:pStyle w:val="0"/>
        <w:spacing w:before="240" w:line-rule="auto"/>
        <w:ind w:firstLine="540"/>
        <w:jc w:val="both"/>
      </w:pPr>
      <w:r>
        <w:rPr>
          <w:sz w:val="24"/>
        </w:rPr>
        <w:t xml:space="preserve">подача заявления о выдаче разрешения на допуск представляющим заявителя лицом, не имеющим на это документально подтвержденных полномочий;</w:t>
      </w:r>
    </w:p>
    <w:p>
      <w:pPr>
        <w:pStyle w:val="0"/>
        <w:spacing w:before="240" w:line-rule="auto"/>
        <w:ind w:firstLine="540"/>
        <w:jc w:val="both"/>
      </w:pPr>
      <w:r>
        <w:rPr>
          <w:sz w:val="24"/>
        </w:rPr>
        <w:t xml:space="preserve">отсутствие у заявителя права собственности или иного законного права владения в отношении допускаемого объекта и в отношении земельного участка, на котором расположен допускаемый объект;</w:t>
      </w:r>
    </w:p>
    <w:bookmarkStart w:id="197" w:name="P197"/>
    <w:bookmarkEnd w:id="197"/>
    <w:p>
      <w:pPr>
        <w:pStyle w:val="0"/>
        <w:spacing w:before="240" w:line-rule="auto"/>
        <w:ind w:firstLine="540"/>
        <w:jc w:val="both"/>
      </w:pPr>
      <w:r>
        <w:rPr>
          <w:sz w:val="24"/>
        </w:rPr>
        <w:t xml:space="preserve">наличие сведений и документов, прилагаемых к заявлению о выдаче разрешения на допуск, поданному в виде электронного документа, не подписанных простой электронной подписью, ключ которой получен в соответствии с </w:t>
      </w:r>
      <w:hyperlink w:history="0" r:id="rId57"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4"/>
            <w:color w:val="0000ff"/>
          </w:rPr>
          <w:t xml:space="preserve">Правилами</w:t>
        </w:r>
      </w:hyperlink>
      <w:r>
        <w:rPr>
          <w:sz w:val="24"/>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 выбору заявителя).</w:t>
      </w:r>
    </w:p>
    <w:p>
      <w:pPr>
        <w:pStyle w:val="0"/>
        <w:spacing w:before="240" w:line-rule="auto"/>
        <w:ind w:firstLine="540"/>
        <w:jc w:val="both"/>
      </w:pPr>
      <w:r>
        <w:rPr>
          <w:sz w:val="24"/>
        </w:rPr>
        <w:t xml:space="preserve">При подаче заявления о выдаче разрешения на допуск на бумажном носителе уведомление считается полученным заявителем по истечении одного рабочего дня со дня его направления.</w:t>
      </w:r>
    </w:p>
    <w:p>
      <w:pPr>
        <w:pStyle w:val="0"/>
        <w:spacing w:before="240" w:line-rule="auto"/>
        <w:ind w:firstLine="540"/>
        <w:jc w:val="both"/>
      </w:pPr>
      <w:r>
        <w:rPr>
          <w:sz w:val="24"/>
        </w:rPr>
        <w:t xml:space="preserve">В случае неустранения заявителем замечаний к заявлению о выдаче разрешения на допуск и (или) прилагаемым к нему документам в течение 10 рабочих дней со дня получения уведомления, указанного в </w:t>
      </w:r>
      <w:hyperlink w:history="0" w:anchor="P190" w:tooltip="об оставлении заявления о выдаче разрешения на допуск без рассмотрения по основаниям, указанным в абзацах пятом - девятом настоящего пункта, с мотивированным обоснованием причин отказа, включая указание наименований недостающих документов, обязательных для представления в соответствии с настоящими Правилами, и предложением заявителю устранить имеющиеся замечания к заявлению о выдаче разрешения на допуск и (или) прилагаемым к нему документам;">
        <w:r>
          <w:rPr>
            <w:sz w:val="24"/>
            <w:color w:val="0000ff"/>
          </w:rPr>
          <w:t xml:space="preserve">абзаце втором</w:t>
        </w:r>
      </w:hyperlink>
      <w:r>
        <w:rPr>
          <w:sz w:val="24"/>
        </w:rPr>
        <w:t xml:space="preserve"> настоящего пункта, орган федерального государственного энергетического надзора направляет заявителю уведомление об оставлении заявления о выдаче разрешения на допуск без рассмотрения и возвращает заявителю представленные документы.</w:t>
      </w:r>
    </w:p>
    <w:p>
      <w:pPr>
        <w:pStyle w:val="0"/>
        <w:spacing w:before="240" w:line-rule="auto"/>
        <w:ind w:firstLine="540"/>
        <w:jc w:val="both"/>
      </w:pPr>
      <w:r>
        <w:rPr>
          <w:sz w:val="24"/>
        </w:rPr>
        <w:t xml:space="preserve">Для случаев, указанных в </w:t>
      </w:r>
      <w:hyperlink w:history="0" w:anchor="P53" w:tooltip="В случаях если федеральными органами исполнительной власти, уполномоченными на осуществление федерального государственного энергетического надзора (далее - органы федерального государственного энергетического надзора), являются Служба внешней разведки Российской Федерации, Федеральная служба охраны Российской Федерации, Федеральная служба безопасности Российской Федерации, Главное управление специальных программ Президента Российской Федерации и Министерство обороны Российской Федерации, разрешение на до...">
        <w:r>
          <w:rPr>
            <w:sz w:val="24"/>
            <w:color w:val="0000ff"/>
          </w:rPr>
          <w:t xml:space="preserve">абзаце втором пункта 2</w:t>
        </w:r>
      </w:hyperlink>
      <w:r>
        <w:rPr>
          <w:sz w:val="24"/>
        </w:rPr>
        <w:t xml:space="preserve"> настоящих Правил, порядок уведомления заявителей определяется органом федерального государственного энергетического надзора.</w:t>
      </w:r>
    </w:p>
    <w:p>
      <w:pPr>
        <w:pStyle w:val="0"/>
        <w:jc w:val="both"/>
      </w:pPr>
      <w:r>
        <w:rPr>
          <w:sz w:val="24"/>
        </w:rPr>
        <w:t xml:space="preserve">(п. 21 в ред. </w:t>
      </w:r>
      <w:hyperlink w:history="0" r:id="rId58"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bookmarkStart w:id="202" w:name="P202"/>
    <w:bookmarkEnd w:id="202"/>
    <w:p>
      <w:pPr>
        <w:pStyle w:val="0"/>
        <w:spacing w:before="240" w:line-rule="auto"/>
        <w:ind w:firstLine="540"/>
        <w:jc w:val="both"/>
      </w:pPr>
      <w:r>
        <w:rPr>
          <w:sz w:val="24"/>
        </w:rPr>
        <w:t xml:space="preserve">22. В случае подачи заявления о выдаче разрешения на допуск посредством единого портала уведомление с информацией об оставлении заявления о выдаче разрешения на допуск без рассмотрения либо о приеме указанного заявления к рассмотрению в соответствии с </w:t>
      </w:r>
      <w:hyperlink w:history="0" w:anchor="P189" w:tooltip="21. При подаче заявления о выдаче разрешения на допуск на бумажном носителе орган федерального государственного энергетического надзора не позднее 2-го рабочего дня со дня его регистрации направляет на адрес электронной почты, указанный в заявлении о выдаче разрешения на допуск, подписанное усиленной квалифицированной электронной подписью уведомление (за исключением случаев, указанных в абзаце втором пункта 2 настоящих Правил):">
        <w:r>
          <w:rPr>
            <w:sz w:val="24"/>
            <w:color w:val="0000ff"/>
          </w:rPr>
          <w:t xml:space="preserve">пунктом 21</w:t>
        </w:r>
      </w:hyperlink>
      <w:r>
        <w:rPr>
          <w:sz w:val="24"/>
        </w:rPr>
        <w:t xml:space="preserve"> настоящих Правил направляется заявителю в виде электронного документа, подписанного квалифицированной электронной подписью, в личный кабинет единого портала.</w:t>
      </w:r>
    </w:p>
    <w:p>
      <w:pPr>
        <w:pStyle w:val="0"/>
        <w:spacing w:before="240" w:line-rule="auto"/>
        <w:ind w:firstLine="540"/>
        <w:jc w:val="both"/>
      </w:pPr>
      <w:r>
        <w:rPr>
          <w:sz w:val="24"/>
        </w:rPr>
        <w:t xml:space="preserve">При подаче заявления о выдаче разрешения на допуск в электронном виде уведомление считается полученным заявителем по истечении одного рабочего дня со дня его размещения в личном кабинете заявителя на едином портале.</w:t>
      </w:r>
    </w:p>
    <w:p>
      <w:pPr>
        <w:pStyle w:val="0"/>
        <w:jc w:val="both"/>
      </w:pPr>
      <w:r>
        <w:rPr>
          <w:sz w:val="24"/>
        </w:rPr>
        <w:t xml:space="preserve">(абзац введен </w:t>
      </w:r>
      <w:hyperlink w:history="0" r:id="rId59"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Постановлением</w:t>
        </w:r>
      </w:hyperlink>
      <w:r>
        <w:rPr>
          <w:sz w:val="24"/>
        </w:rPr>
        <w:t xml:space="preserve"> Правительства РФ от 04.12.2024 N 1711)</w:t>
      </w:r>
    </w:p>
    <w:bookmarkStart w:id="205" w:name="P205"/>
    <w:bookmarkEnd w:id="205"/>
    <w:p>
      <w:pPr>
        <w:pStyle w:val="0"/>
        <w:spacing w:before="240" w:line-rule="auto"/>
        <w:ind w:firstLine="540"/>
        <w:jc w:val="both"/>
      </w:pPr>
      <w:r>
        <w:rPr>
          <w:sz w:val="24"/>
        </w:rPr>
        <w:t xml:space="preserve">Для заявлений, поданных посредством единого портала, в личном кабинете заявителя на едином портале обеспечивается возможность подтверждения заявителем в течение 3 рабочих дней со дня направления указанного в </w:t>
      </w:r>
      <w:hyperlink w:history="0" w:anchor="P202" w:tooltip="22. В случае подачи заявления о выдаче разрешения на допуск посредством единого портала уведомление с информацией об оставлении заявления о выдаче разрешения на допуск без рассмотрения либо о приеме указанного заявления к рассмотрению в соответствии с пунктом 21 настоящих Правил направляется заявителю в виде электронного документа, подписанного квалифицированной электронной подписью, в личный кабинет единого портала.">
        <w:r>
          <w:rPr>
            <w:sz w:val="24"/>
            <w:color w:val="0000ff"/>
          </w:rPr>
          <w:t xml:space="preserve">абзаце первом</w:t>
        </w:r>
      </w:hyperlink>
      <w:r>
        <w:rPr>
          <w:sz w:val="24"/>
        </w:rPr>
        <w:t xml:space="preserve"> настоящего пункта уведомления предлагаемых органом федерального государственного энергетического надзора даты и времени осмотра допускаемого объекта либо выбора иных более поздних даты и времени осмотра.</w:t>
      </w:r>
    </w:p>
    <w:p>
      <w:pPr>
        <w:pStyle w:val="0"/>
        <w:jc w:val="both"/>
      </w:pPr>
      <w:r>
        <w:rPr>
          <w:sz w:val="24"/>
        </w:rPr>
        <w:t xml:space="preserve">(в ред. </w:t>
      </w:r>
      <w:hyperlink w:history="0" r:id="rId60"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bookmarkStart w:id="207" w:name="P207"/>
    <w:bookmarkEnd w:id="207"/>
    <w:p>
      <w:pPr>
        <w:pStyle w:val="0"/>
        <w:spacing w:before="240" w:line-rule="auto"/>
        <w:ind w:firstLine="540"/>
        <w:jc w:val="both"/>
      </w:pPr>
      <w:r>
        <w:rPr>
          <w:sz w:val="24"/>
        </w:rPr>
        <w:t xml:space="preserve">23. В случае принятия заявления о выдаче разрешения на допуск к рассмотрению орган федерального государственного энергетического надзора в течение 10 рабочих дней (для заявления о выдаче временного разрешения на допуск и заявления о выдаче разрешения на допуск) или в течение 7 рабочих дней (для заявления о выдаче разрешения на допуск, если ранее выдано временное разрешение) со дня регистрации такого заявления, а в случаях, предусмотренных </w:t>
      </w:r>
      <w:hyperlink w:history="0" w:anchor="P189" w:tooltip="21. При подаче заявления о выдаче разрешения на допуск на бумажном носителе орган федерального государственного энергетического надзора не позднее 2-го рабочего дня со дня его регистрации направляет на адрес электронной почты, указанный в заявлении о выдаче разрешения на допуск, подписанное усиленной квалифицированной электронной подписью уведомление (за исключением случаев, указанных в абзаце втором пункта 2 настоящих Правил):">
        <w:r>
          <w:rPr>
            <w:sz w:val="24"/>
            <w:color w:val="0000ff"/>
          </w:rPr>
          <w:t xml:space="preserve">абзацем первым пункта 21</w:t>
        </w:r>
      </w:hyperlink>
      <w:r>
        <w:rPr>
          <w:sz w:val="24"/>
        </w:rPr>
        <w:t xml:space="preserve"> настоящих Правил, - со дня регистрации надлежащим образом оформленного заявления о выдаче разрешения и (или) представления недостающих документов (сведений):</w:t>
      </w:r>
    </w:p>
    <w:p>
      <w:pPr>
        <w:pStyle w:val="0"/>
        <w:jc w:val="both"/>
      </w:pPr>
      <w:r>
        <w:rPr>
          <w:sz w:val="24"/>
        </w:rPr>
        <w:t xml:space="preserve">(в ред. </w:t>
      </w:r>
      <w:hyperlink w:history="0" r:id="rId61"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рассматривает документы (информацию о документах), указанные в </w:t>
      </w:r>
      <w:hyperlink w:history="0" w:anchor="P93" w:tooltip="13. Для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 к заявлению о выдаче разрешения на допуск прилагаются следующие документы:">
        <w:r>
          <w:rPr>
            <w:sz w:val="24"/>
            <w:color w:val="0000ff"/>
          </w:rPr>
          <w:t xml:space="preserve">пунктах 13</w:t>
        </w:r>
      </w:hyperlink>
      <w:r>
        <w:rPr>
          <w:sz w:val="24"/>
        </w:rPr>
        <w:t xml:space="preserve"> - </w:t>
      </w:r>
      <w:hyperlink w:history="0" w:anchor="P171" w:tooltip="19. Для энергопринимающей установки, предназначенной для проведения испытаний электрооборудования повышенным напряжением (далее - электролаборатория), к заявлению о выдаче разрешения на допуск прилагаются:">
        <w:r>
          <w:rPr>
            <w:sz w:val="24"/>
            <w:color w:val="0000ff"/>
          </w:rPr>
          <w:t xml:space="preserve">19</w:t>
        </w:r>
      </w:hyperlink>
      <w:r>
        <w:rPr>
          <w:sz w:val="24"/>
        </w:rPr>
        <w:t xml:space="preserve"> настоящих Правил, проводит осмотр допускаемого объекта и проверку документов, указанных в </w:t>
      </w:r>
      <w:hyperlink w:history="0" w:anchor="P185" w:tooltip="Документы, включенные в перечни, предусмотренные подпунктами &quot;г&quot; и &quot;д&quot; пункта 13, подпунктами &quot;г&quot; и &quot;д&quot; пункта 15, подпунктами &quot;в&quot; и &quot;г&quot; пункта 17 и подпунктом &quot;г&quot; пункта 19 настоящих Правил, к заявлению о выдаче разрешения на допуск не прилагаются.">
        <w:r>
          <w:rPr>
            <w:sz w:val="24"/>
            <w:color w:val="0000ff"/>
          </w:rPr>
          <w:t xml:space="preserve">абзаце третьем пункта 20</w:t>
        </w:r>
      </w:hyperlink>
      <w:r>
        <w:rPr>
          <w:sz w:val="24"/>
        </w:rPr>
        <w:t xml:space="preserve"> настоящих Правил, в соответствии с </w:t>
      </w:r>
      <w:hyperlink w:history="0"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третьим, четвертым, шестым и седьмым пункта 2 статьи 28 Федерального закона &quot;Об электроэнергетике&quot;, и требованиям безопасности в сфере теплоснабжения, установленным в соответствии с пунктами 1 и 2 статьи 23.2 Федерального закона &quot;О теплоснабжении&quot;.">
        <w:r>
          <w:rPr>
            <w:sz w:val="24"/>
            <w:color w:val="0000ff"/>
          </w:rPr>
          <w:t xml:space="preserve">пунктом 24</w:t>
        </w:r>
      </w:hyperlink>
      <w:r>
        <w:rPr>
          <w:sz w:val="24"/>
        </w:rPr>
        <w:t xml:space="preserve"> настоящих Правил;</w:t>
      </w:r>
    </w:p>
    <w:p>
      <w:pPr>
        <w:pStyle w:val="0"/>
        <w:spacing w:before="240" w:line-rule="auto"/>
        <w:ind w:firstLine="540"/>
        <w:jc w:val="both"/>
      </w:pPr>
      <w:r>
        <w:rPr>
          <w:sz w:val="24"/>
        </w:rPr>
        <w:t xml:space="preserve">принимает решение о выдаче разрешения на допуск или об отказе в выдаче разрешения на допуск с направлением заявителю в сроки, указанные в </w:t>
      </w:r>
      <w:hyperlink w:history="0" w:anchor="P207" w:tooltip="23. В случае принятия заявления о выдаче разрешения на допуск к рассмотрению орган федерального государственного энергетического надзора в течение 10 рабочих дней (для заявления о выдаче временного разрешения на допуск и заявления о выдаче разрешения на допуск) или в течение 7 рабочих дней (для заявления о выдаче разрешения на допуск, если ранее выдано временное разрешение) со дня регистрации такого заявления, а в случаях, предусмотренных абзацем первым пункта 21 настоящих Правил, - со дня регистрации на...">
        <w:r>
          <w:rPr>
            <w:sz w:val="24"/>
            <w:color w:val="0000ff"/>
          </w:rPr>
          <w:t xml:space="preserve">абзаце первом</w:t>
        </w:r>
      </w:hyperlink>
      <w:r>
        <w:rPr>
          <w:sz w:val="24"/>
        </w:rPr>
        <w:t xml:space="preserve"> настоящего пункта, разрешения на допуск или уведомления об отказе в выдаче такого разрешения.</w:t>
      </w:r>
    </w:p>
    <w:bookmarkStart w:id="211" w:name="P211"/>
    <w:bookmarkEnd w:id="211"/>
    <w:p>
      <w:pPr>
        <w:pStyle w:val="0"/>
        <w:spacing w:before="240" w:line-rule="auto"/>
        <w:ind w:firstLine="540"/>
        <w:jc w:val="both"/>
      </w:pPr>
      <w:r>
        <w:rPr>
          <w:sz w:val="24"/>
        </w:rPr>
        <w:t xml:space="preserve">В случае если заявителем в соответствии с </w:t>
      </w:r>
      <w:hyperlink w:history="0" w:anchor="P205" w:tooltip="Для заявлений, поданных посредством единого портала, в личном кабинете заявителя на едином портале обеспечивается возможность подтверждения заявителем в течение 3 рабочих дней со дня направления указанного в абзаце первом настоящего пункта уведомления предлагаемых органом федерального государственного энергетического надзора даты и времени осмотра допускаемого объекта либо выбора иных более поздних даты и времени осмотра.">
        <w:r>
          <w:rPr>
            <w:sz w:val="24"/>
            <w:color w:val="0000ff"/>
          </w:rPr>
          <w:t xml:space="preserve">абзацем вторым пункта 22</w:t>
        </w:r>
      </w:hyperlink>
      <w:r>
        <w:rPr>
          <w:sz w:val="24"/>
        </w:rPr>
        <w:t xml:space="preserve"> настоящих Правил была выбрана более поздняя дата осмотра, сроки рассмотрения заявления о выдаче разрешения на допуск, установленные </w:t>
      </w:r>
      <w:hyperlink w:history="0" w:anchor="P207" w:tooltip="23. В случае принятия заявления о выдаче разрешения на допуск к рассмотрению орган федерального государственного энергетического надзора в течение 10 рабочих дней (для заявления о выдаче временного разрешения на допуск и заявления о выдаче разрешения на допуск) или в течение 7 рабочих дней (для заявления о выдаче разрешения на допуск, если ранее выдано временное разрешение) со дня регистрации такого заявления, а в случаях, предусмотренных абзацем первым пункта 21 настоящих Правил, - со дня регистрации на...">
        <w:r>
          <w:rPr>
            <w:sz w:val="24"/>
            <w:color w:val="0000ff"/>
          </w:rPr>
          <w:t xml:space="preserve">абзацем первым</w:t>
        </w:r>
      </w:hyperlink>
      <w:r>
        <w:rPr>
          <w:sz w:val="24"/>
        </w:rPr>
        <w:t xml:space="preserve"> настоящего пункта, увеличиваются на соответствующий период.</w:t>
      </w:r>
    </w:p>
    <w:p>
      <w:pPr>
        <w:pStyle w:val="0"/>
        <w:spacing w:before="240" w:line-rule="auto"/>
        <w:ind w:firstLine="540"/>
        <w:jc w:val="both"/>
      </w:pPr>
      <w:r>
        <w:rPr>
          <w:sz w:val="24"/>
        </w:rPr>
        <w:t xml:space="preserve">Общая продолжительность осмотра (присутствие непосредственно на месте расположения допускаемого объекта) должностными лицами органа федерального государственного энергетического надзора не должна превышать 7 рабочих дней.</w:t>
      </w:r>
    </w:p>
    <w:p>
      <w:pPr>
        <w:pStyle w:val="0"/>
        <w:spacing w:before="240" w:line-rule="auto"/>
        <w:ind w:firstLine="540"/>
        <w:jc w:val="both"/>
      </w:pPr>
      <w:r>
        <w:rPr>
          <w:sz w:val="24"/>
        </w:rPr>
        <w:t xml:space="preserve">В случае если заявитель обратился с заявлением о выдаче разрешения на допуск в отношении допускаемого объекта, по которому ранее было получено временное разрешение, общая продолжительность осмотра не должна превышать 4 рабочих дня.</w:t>
      </w:r>
    </w:p>
    <w:p>
      <w:pPr>
        <w:pStyle w:val="0"/>
        <w:jc w:val="both"/>
      </w:pPr>
      <w:r>
        <w:rPr>
          <w:sz w:val="24"/>
        </w:rPr>
        <w:t xml:space="preserve">(в ред. </w:t>
      </w:r>
      <w:hyperlink w:history="0" r:id="rId62"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bookmarkStart w:id="215" w:name="P215"/>
    <w:bookmarkEnd w:id="215"/>
    <w:p>
      <w:pPr>
        <w:pStyle w:val="0"/>
        <w:spacing w:before="240" w:line-rule="auto"/>
        <w:ind w:firstLine="540"/>
        <w:jc w:val="both"/>
      </w:pPr>
      <w:r>
        <w:rPr>
          <w:sz w:val="24"/>
        </w:rPr>
        <w:t xml:space="preserve">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w:t>
      </w:r>
      <w:hyperlink w:history="0" r:id="rId63"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абзацами третьим</w:t>
        </w:r>
      </w:hyperlink>
      <w:r>
        <w:rPr>
          <w:sz w:val="24"/>
        </w:rPr>
        <w:t xml:space="preserve">, </w:t>
      </w:r>
      <w:hyperlink w:history="0" r:id="rId64"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четвертым</w:t>
        </w:r>
      </w:hyperlink>
      <w:r>
        <w:rPr>
          <w:sz w:val="24"/>
        </w:rPr>
        <w:t xml:space="preserve">, </w:t>
      </w:r>
      <w:hyperlink w:history="0" r:id="rId65"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шестым</w:t>
        </w:r>
      </w:hyperlink>
      <w:r>
        <w:rPr>
          <w:sz w:val="24"/>
        </w:rPr>
        <w:t xml:space="preserve"> и </w:t>
      </w:r>
      <w:hyperlink w:history="0" r:id="rId66" w:tooltip="Федеральный закон от 26.03.2003 N 35-ФЗ (ред. от 25.10.2024) &quot;Об электроэнергетике&quot; (с изм. и доп., вступ. в силу с 01.03.2025) {КонсультантПлюс}">
        <w:r>
          <w:rPr>
            <w:sz w:val="24"/>
            <w:color w:val="0000ff"/>
          </w:rPr>
          <w:t xml:space="preserve">седьмым пункта 2 статьи 28</w:t>
        </w:r>
      </w:hyperlink>
      <w:r>
        <w:rPr>
          <w:sz w:val="24"/>
        </w:rPr>
        <w:t xml:space="preserve"> Федерального закона "Об электроэнергетике", и требованиям безопасности в сфере теплоснабжения, установленным в соответствии с </w:t>
      </w:r>
      <w:hyperlink w:history="0" r:id="rId67" w:tooltip="Федеральный закон от 27.07.2010 N 190-ФЗ (ред. от 08.08.2024) &quot;О теплоснабжении&quot; (с изм. и доп., вступ. в силу с 01.03.2025) {КонсультантПлюс}">
        <w:r>
          <w:rPr>
            <w:sz w:val="24"/>
            <w:color w:val="0000ff"/>
          </w:rPr>
          <w:t xml:space="preserve">пунктами 1</w:t>
        </w:r>
      </w:hyperlink>
      <w:r>
        <w:rPr>
          <w:sz w:val="24"/>
        </w:rPr>
        <w:t xml:space="preserve"> и </w:t>
      </w:r>
      <w:hyperlink w:history="0" r:id="rId68" w:tooltip="Федеральный закон от 27.07.2010 N 190-ФЗ (ред. от 08.08.2024) &quot;О теплоснабжении&quot; (с изм. и доп., вступ. в силу с 01.03.2025) {КонсультантПлюс}">
        <w:r>
          <w:rPr>
            <w:sz w:val="24"/>
            <w:color w:val="0000ff"/>
          </w:rPr>
          <w:t xml:space="preserve">2 статьи 23.2</w:t>
        </w:r>
      </w:hyperlink>
      <w:r>
        <w:rPr>
          <w:sz w:val="24"/>
        </w:rPr>
        <w:t xml:space="preserve"> Федерального закона "О теплоснабжении".</w:t>
      </w:r>
    </w:p>
    <w:p>
      <w:pPr>
        <w:pStyle w:val="0"/>
        <w:jc w:val="both"/>
      </w:pPr>
      <w:r>
        <w:rPr>
          <w:sz w:val="24"/>
        </w:rPr>
        <w:t xml:space="preserve">(п. 24 в ред. </w:t>
      </w:r>
      <w:hyperlink w:history="0" r:id="rId69"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quot; {КонсультантПлюс}">
        <w:r>
          <w:rPr>
            <w:sz w:val="24"/>
            <w:color w:val="0000ff"/>
          </w:rPr>
          <w:t xml:space="preserve">Постановления</w:t>
        </w:r>
      </w:hyperlink>
      <w:r>
        <w:rPr>
          <w:sz w:val="24"/>
        </w:rPr>
        <w:t xml:space="preserve"> Правительства РФ от 22.10.2021 N 1813)</w:t>
      </w:r>
    </w:p>
    <w:bookmarkStart w:id="217" w:name="P217"/>
    <w:bookmarkEnd w:id="217"/>
    <w:p>
      <w:pPr>
        <w:pStyle w:val="0"/>
        <w:spacing w:before="240" w:line-rule="auto"/>
        <w:ind w:firstLine="540"/>
        <w:jc w:val="both"/>
      </w:pPr>
      <w:r>
        <w:rPr>
          <w:sz w:val="24"/>
        </w:rPr>
        <w:t xml:space="preserve">25. Осмотр допускаемого объекта (далее - осмотр) проводится должностным лицом (должностными лицами) органа федерального государственного энергетического надзора без привлечения иных лиц.</w:t>
      </w:r>
    </w:p>
    <w:p>
      <w:pPr>
        <w:pStyle w:val="0"/>
        <w:spacing w:before="240" w:line-rule="auto"/>
        <w:ind w:firstLine="540"/>
        <w:jc w:val="both"/>
      </w:pPr>
      <w:r>
        <w:rPr>
          <w:sz w:val="24"/>
        </w:rPr>
        <w:t xml:space="preserve">В случае если допускаемый объект является объектом капитального строительства или его составной частью, контроль соответствия выполнения работ и применяемых строительных материалов в процессе строительства, реконструкции объекта капитального строительства, а также результатов таких работ требованиям проектной документации в части вопросов, относящихся к предмету государственного строительного надзора, в ходе осмотра не осуществляется.</w:t>
      </w:r>
    </w:p>
    <w:p>
      <w:pPr>
        <w:pStyle w:val="0"/>
        <w:spacing w:before="240" w:line-rule="auto"/>
        <w:ind w:firstLine="540"/>
        <w:jc w:val="both"/>
      </w:pPr>
      <w:r>
        <w:rPr>
          <w:sz w:val="24"/>
        </w:rPr>
        <w:t xml:space="preserve">Перечень оборудования в составе допускаемых объектов, в отношении которого возможно проведение осмотра органом федерального государственного энергетического надзора, предусмотрен </w:t>
      </w:r>
      <w:hyperlink w:history="0" w:anchor="P489" w:tooltip="ПЕРЕЧЕНЬ">
        <w:r>
          <w:rPr>
            <w:sz w:val="24"/>
            <w:color w:val="0000ff"/>
          </w:rPr>
          <w:t xml:space="preserve">приложением N 3</w:t>
        </w:r>
      </w:hyperlink>
      <w:r>
        <w:rPr>
          <w:sz w:val="24"/>
        </w:rPr>
        <w:t xml:space="preserve"> к настоящим Правилам. Оборудование допускаемого объекта, подлежащее осмотру в ходе выдачи разрешения на допуск, определяется из числа оборудования, предусмотренного </w:t>
      </w:r>
      <w:hyperlink w:history="0" w:anchor="P489" w:tooltip="ПЕРЕЧЕНЬ">
        <w:r>
          <w:rPr>
            <w:sz w:val="24"/>
            <w:color w:val="0000ff"/>
          </w:rPr>
          <w:t xml:space="preserve">приложением N 3</w:t>
        </w:r>
      </w:hyperlink>
      <w:r>
        <w:rPr>
          <w:sz w:val="24"/>
        </w:rPr>
        <w:t xml:space="preserve"> к настоящим Правилам, с учетом вида допускаемого объекта, цели получения разрешения на допуск, состава энергоустановок, указанного в заявлении о выдаче разрешения на допуск, и объема соответствующих им технических решений, предусмотренных проектной документацией.</w:t>
      </w:r>
    </w:p>
    <w:p>
      <w:pPr>
        <w:pStyle w:val="0"/>
        <w:spacing w:before="240" w:line-rule="auto"/>
        <w:ind w:firstLine="540"/>
        <w:jc w:val="both"/>
      </w:pPr>
      <w:r>
        <w:rPr>
          <w:sz w:val="24"/>
        </w:rPr>
        <w:t xml:space="preserve">В случае если заявление о выдаче разрешения на допуск подано в целях получения разрешения на допуск в отношении энергоустановок этапа технологического присоединения (подключения) или этапа строительства (реконструкции) допускаемого объекта, осмотр проводится в отношении оборудования энергоустановок, вводимых в эксплуатацию на таком этапе. При выдаче разрешения на допуск в эксплуатацию энергоустановки на завершающем этапе технологического присоединения (подключения) или этапе строительства (реконструкции) допускаемого объекта осмотр проводится в отношении энергоустановок допускаемого объекта в целом.</w:t>
      </w:r>
    </w:p>
    <w:p>
      <w:pPr>
        <w:pStyle w:val="0"/>
        <w:spacing w:before="240" w:line-rule="auto"/>
        <w:ind w:firstLine="540"/>
        <w:jc w:val="both"/>
      </w:pPr>
      <w:r>
        <w:rPr>
          <w:sz w:val="24"/>
        </w:rPr>
        <w:t xml:space="preserve">В случае если заявление о выдаче разрешения на допуск подано в целях получения разрешения на допуск в отношении объекта электросетевого хозяйства (в том числе входящего в состав объектов по производству электрической энергии), мероприятия по строительству (реконструкции, монтажу) и вводу в эксплуатацию которого не выделены в отдельный этап технических условий на технологическое присоединение или отдельный этап реализации проекта, осмотр проводится в отношении оборудования вводимого в работу объекта электросетевого хозяйства.</w:t>
      </w:r>
    </w:p>
    <w:p>
      <w:pPr>
        <w:pStyle w:val="0"/>
        <w:spacing w:before="240" w:line-rule="auto"/>
        <w:ind w:firstLine="540"/>
        <w:jc w:val="both"/>
      </w:pPr>
      <w:r>
        <w:rPr>
          <w:sz w:val="24"/>
        </w:rPr>
        <w:t xml:space="preserve">Орган федерального государственного энергетического надзора в ходе осмотра вправе запросить, а заявитель обязан предъявить документы, указанные в </w:t>
      </w:r>
      <w:hyperlink w:history="0" w:anchor="P185" w:tooltip="Документы, включенные в перечни, предусмотренные подпунктами &quot;г&quot; и &quot;д&quot; пункта 13, подпунктами &quot;г&quot; и &quot;д&quot; пункта 15, подпунктами &quot;в&quot; и &quot;г&quot; пункта 17 и подпунктом &quot;г&quot; пункта 19 настоящих Правил, к заявлению о выдаче разрешения на допуск не прилагаются.">
        <w:r>
          <w:rPr>
            <w:sz w:val="24"/>
            <w:color w:val="0000ff"/>
          </w:rPr>
          <w:t xml:space="preserve">абзаце третьем пункта 20</w:t>
        </w:r>
      </w:hyperlink>
      <w:r>
        <w:rPr>
          <w:sz w:val="24"/>
        </w:rPr>
        <w:t xml:space="preserve"> настоящих Правил, в целях подтверждения их наличия и соответствия требованиям, установленным нормативными правовыми актами, предусмотренными </w:t>
      </w:r>
      <w:hyperlink w:history="0"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третьим, четвертым, шестым и седьмым пункта 2 статьи 28 Федерального закона &quot;Об электроэнергетике&quot;, и требованиям безопасности в сфере теплоснабжения, установленным в соответствии с пунктами 1 и 2 статьи 23.2 Федерального закона &quot;О теплоснабжении&quot;.">
        <w:r>
          <w:rPr>
            <w:sz w:val="24"/>
            <w:color w:val="0000ff"/>
          </w:rPr>
          <w:t xml:space="preserve">пунктом 24</w:t>
        </w:r>
      </w:hyperlink>
      <w:r>
        <w:rPr>
          <w:sz w:val="24"/>
        </w:rPr>
        <w:t xml:space="preserve"> настоящих Правил.</w:t>
      </w:r>
    </w:p>
    <w:p>
      <w:pPr>
        <w:pStyle w:val="0"/>
        <w:spacing w:before="240" w:line-rule="auto"/>
        <w:ind w:firstLine="540"/>
        <w:jc w:val="both"/>
      </w:pPr>
      <w:r>
        <w:rPr>
          <w:sz w:val="24"/>
        </w:rPr>
        <w:t xml:space="preserve">Результаты рассмотрения документов, указанных в </w:t>
      </w:r>
      <w:hyperlink w:history="0" w:anchor="P93" w:tooltip="13. Для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 к заявлению о выдаче разрешения на допуск прилагаются следующие документы:">
        <w:r>
          <w:rPr>
            <w:sz w:val="24"/>
            <w:color w:val="0000ff"/>
          </w:rPr>
          <w:t xml:space="preserve">пунктах 13</w:t>
        </w:r>
      </w:hyperlink>
      <w:r>
        <w:rPr>
          <w:sz w:val="24"/>
        </w:rPr>
        <w:t xml:space="preserve"> - </w:t>
      </w:r>
      <w:hyperlink w:history="0" w:anchor="P171" w:tooltip="19. Для энергопринимающей установки, предназначенной для проведения испытаний электрооборудования повышенным напряжением (далее - электролаборатория), к заявлению о выдаче разрешения на допуск прилагаются:">
        <w:r>
          <w:rPr>
            <w:sz w:val="24"/>
            <w:color w:val="0000ff"/>
          </w:rPr>
          <w:t xml:space="preserve">19</w:t>
        </w:r>
      </w:hyperlink>
      <w:r>
        <w:rPr>
          <w:sz w:val="24"/>
        </w:rPr>
        <w:t xml:space="preserve"> настоящих Правил, и осмотра, предусмотренного настоящим пунктом, фиксируются в акте осмотра, оформляемом уполномоченным должностным лицом органа федерального государственного энергетического надзора по форме, согласно </w:t>
      </w:r>
      <w:hyperlink w:history="0" w:anchor="P601" w:tooltip="АКТ">
        <w:r>
          <w:rPr>
            <w:sz w:val="24"/>
            <w:color w:val="0000ff"/>
          </w:rPr>
          <w:t xml:space="preserve">приложению N 4</w:t>
        </w:r>
      </w:hyperlink>
      <w:r>
        <w:rPr>
          <w:sz w:val="24"/>
        </w:rPr>
        <w:t xml:space="preserve"> (далее - акт осмотра).</w:t>
      </w:r>
    </w:p>
    <w:p>
      <w:pPr>
        <w:pStyle w:val="0"/>
        <w:spacing w:before="240" w:line-rule="auto"/>
        <w:ind w:firstLine="540"/>
        <w:jc w:val="both"/>
      </w:pPr>
      <w:r>
        <w:rPr>
          <w:sz w:val="24"/>
        </w:rPr>
        <w:t xml:space="preserve">При наличии оснований, предусмотренных </w:t>
      </w:r>
      <w:hyperlink w:history="0" w:anchor="P227" w:tooltip="26. Основаниями для отказа в выдаче разрешения на допуск являются:">
        <w:r>
          <w:rPr>
            <w:sz w:val="24"/>
            <w:color w:val="0000ff"/>
          </w:rPr>
          <w:t xml:space="preserve">пунктом 26</w:t>
        </w:r>
      </w:hyperlink>
      <w:r>
        <w:rPr>
          <w:sz w:val="24"/>
        </w:rPr>
        <w:t xml:space="preserve"> настоящих Правил, в акт осмотра включается мотивированное обоснование для отказа в выдаче разрешения на допуск со ссылкой на соответствующее требование, установленное нормативными правовыми актами, предусмотренными </w:t>
      </w:r>
      <w:hyperlink w:history="0"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третьим, четвертым, шестым и седьмым пункта 2 статьи 28 Федерального закона &quot;Об электроэнергетике&quot;, и требованиям безопасности в сфере теплоснабжения, установленным в соответствии с пунктами 1 и 2 статьи 23.2 Федерального закона &quot;О теплоснабжении&quot;.">
        <w:r>
          <w:rPr>
            <w:sz w:val="24"/>
            <w:color w:val="0000ff"/>
          </w:rPr>
          <w:t xml:space="preserve">пунктом 24</w:t>
        </w:r>
      </w:hyperlink>
      <w:r>
        <w:rPr>
          <w:sz w:val="24"/>
        </w:rPr>
        <w:t xml:space="preserve"> настоящих Правил.</w:t>
      </w:r>
    </w:p>
    <w:p>
      <w:pPr>
        <w:pStyle w:val="0"/>
        <w:spacing w:before="240" w:line-rule="auto"/>
        <w:ind w:firstLine="540"/>
        <w:jc w:val="both"/>
      </w:pPr>
      <w:r>
        <w:rPr>
          <w:sz w:val="24"/>
        </w:rPr>
        <w:t xml:space="preserve">Перечень нарушений, выявленных по результатам рассмотрения документов и при проведении осмотра, включаемых в акт осмотра, должен быть исчерпывающим.</w:t>
      </w:r>
    </w:p>
    <w:p>
      <w:pPr>
        <w:pStyle w:val="0"/>
        <w:spacing w:before="240" w:line-rule="auto"/>
        <w:ind w:firstLine="540"/>
        <w:jc w:val="both"/>
      </w:pPr>
      <w:r>
        <w:rPr>
          <w:sz w:val="24"/>
        </w:rPr>
        <w:t xml:space="preserve">Указание в акте осмотра на нарушения, связанные с невыполнением требований промышленной безопасности и иных обязательных требований, не относящихся к требованиям, установленным нормативными правовыми актами, предусмотренными </w:t>
      </w:r>
      <w:hyperlink w:history="0"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третьим, четвертым, шестым и седьмым пункта 2 статьи 28 Федерального закона &quot;Об электроэнергетике&quot;, и требованиям безопасности в сфере теплоснабжения, установленным в соответствии с пунктами 1 и 2 статьи 23.2 Федерального закона &quot;О теплоснабжении&quot;.">
        <w:r>
          <w:rPr>
            <w:sz w:val="24"/>
            <w:color w:val="0000ff"/>
          </w:rPr>
          <w:t xml:space="preserve">пунктом 24</w:t>
        </w:r>
      </w:hyperlink>
      <w:r>
        <w:rPr>
          <w:sz w:val="24"/>
        </w:rPr>
        <w:t xml:space="preserve"> настоящих Правил, по результатам проведения осмотра и рассмотрения документов не допускается.</w:t>
      </w:r>
    </w:p>
    <w:bookmarkStart w:id="227" w:name="P227"/>
    <w:bookmarkEnd w:id="227"/>
    <w:p>
      <w:pPr>
        <w:pStyle w:val="0"/>
        <w:spacing w:before="240" w:line-rule="auto"/>
        <w:ind w:firstLine="540"/>
        <w:jc w:val="both"/>
      </w:pPr>
      <w:r>
        <w:rPr>
          <w:sz w:val="24"/>
        </w:rPr>
        <w:t xml:space="preserve">26. Основаниями для отказа в выдаче разрешения на допуск являются:</w:t>
      </w:r>
    </w:p>
    <w:p>
      <w:pPr>
        <w:pStyle w:val="0"/>
        <w:spacing w:before="240" w:line-rule="auto"/>
        <w:ind w:firstLine="540"/>
        <w:jc w:val="both"/>
      </w:pPr>
      <w:r>
        <w:rPr>
          <w:sz w:val="24"/>
        </w:rPr>
        <w:t xml:space="preserve">а) несоответствие содержания представленных заявителем документов, указанных в </w:t>
      </w:r>
      <w:hyperlink w:history="0" w:anchor="P93" w:tooltip="13. Для объекта по производству электрической энергии (в том числе по производству в режиме комбинированной выработки электрической и тепловой энергии) и объекта электросетевого хозяйства к заявлению о выдаче разрешения на допуск прилагаются следующие документы:">
        <w:r>
          <w:rPr>
            <w:sz w:val="24"/>
            <w:color w:val="0000ff"/>
          </w:rPr>
          <w:t xml:space="preserve">пунктах 13</w:t>
        </w:r>
      </w:hyperlink>
      <w:r>
        <w:rPr>
          <w:sz w:val="24"/>
        </w:rPr>
        <w:t xml:space="preserve">, </w:t>
      </w:r>
      <w:hyperlink w:history="0" w:anchor="P121" w:tooltip="15. Для энергопринимающей установки к заявлению о выдаче разрешения на допуск прилагаются следующие документы:">
        <w:r>
          <w:rPr>
            <w:sz w:val="24"/>
            <w:color w:val="0000ff"/>
          </w:rPr>
          <w:t xml:space="preserve">15</w:t>
        </w:r>
      </w:hyperlink>
      <w:r>
        <w:rPr>
          <w:sz w:val="24"/>
        </w:rPr>
        <w:t xml:space="preserve">, </w:t>
      </w:r>
      <w:hyperlink w:history="0" w:anchor="P146" w:tooltip="17. Для объекта теплоснабжения, теплопотребляющей установки к заявлению о выдаче разрешения на допуск прилагаются следующие документы:">
        <w:r>
          <w:rPr>
            <w:sz w:val="24"/>
            <w:color w:val="0000ff"/>
          </w:rPr>
          <w:t xml:space="preserve">17</w:t>
        </w:r>
      </w:hyperlink>
      <w:r>
        <w:rPr>
          <w:sz w:val="24"/>
        </w:rPr>
        <w:t xml:space="preserve"> и </w:t>
      </w:r>
      <w:hyperlink w:history="0" w:anchor="P171" w:tooltip="19. Для энергопринимающей установки, предназначенной для проведения испытаний электрооборудования повышенным напряжением (далее - электролаборатория), к заявлению о выдаче разрешения на допуск прилагаются:">
        <w:r>
          <w:rPr>
            <w:sz w:val="24"/>
            <w:color w:val="0000ff"/>
          </w:rPr>
          <w:t xml:space="preserve">19</w:t>
        </w:r>
      </w:hyperlink>
      <w:r>
        <w:rPr>
          <w:sz w:val="24"/>
        </w:rPr>
        <w:t xml:space="preserve"> настоящих Правил, требованиям, установленным нормативными правовыми актами, предусмотренными </w:t>
      </w:r>
      <w:hyperlink w:history="0"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третьим, четвертым, шестым и седьмым пункта 2 статьи 28 Федерального закона &quot;Об электроэнергетике&quot;, и требованиям безопасности в сфере теплоснабжения, установленным в соответствии с пунктами 1 и 2 статьи 23.2 Федерального закона &quot;О теплоснабжении&quot;.">
        <w:r>
          <w:rPr>
            <w:sz w:val="24"/>
            <w:color w:val="0000ff"/>
          </w:rPr>
          <w:t xml:space="preserve">пунктом 24</w:t>
        </w:r>
      </w:hyperlink>
      <w:r>
        <w:rPr>
          <w:sz w:val="24"/>
        </w:rPr>
        <w:t xml:space="preserve"> настоящих Правил (не распространяется на документы, представляемые заявителем в соответствии с </w:t>
      </w:r>
      <w:hyperlink w:history="0" w:anchor="P94"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пускаемый объект не зарегистрированы). В случае если соответствующие права зарегистрированы в Едином государственном реестре недвижимости, представление копий документов, подтверждающих владение на праве собственности или ином законном основании доп...">
        <w:r>
          <w:rPr>
            <w:sz w:val="24"/>
            <w:color w:val="0000ff"/>
          </w:rPr>
          <w:t xml:space="preserve">подпунктом "а" пункта 13</w:t>
        </w:r>
      </w:hyperlink>
      <w:r>
        <w:rPr>
          <w:sz w:val="24"/>
        </w:rPr>
        <w:t xml:space="preserve">, </w:t>
      </w:r>
      <w:hyperlink w:history="0" w:anchor="P122"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пускаемый объект не зарегистрированы). В случае если соответствующие права зарегистрированы в Едином государственном реестре недвижимости, представление копий документов, подтверждающих владение на праве собственности или ином законном основании доп...">
        <w:r>
          <w:rPr>
            <w:sz w:val="24"/>
            <w:color w:val="0000ff"/>
          </w:rPr>
          <w:t xml:space="preserve">подпунктом "а" пункта 15</w:t>
        </w:r>
      </w:hyperlink>
      <w:r>
        <w:rPr>
          <w:sz w:val="24"/>
        </w:rPr>
        <w:t xml:space="preserve">, </w:t>
      </w:r>
      <w:hyperlink w:history="0" w:anchor="P147" w:tooltip="а) копии документов, подтверждающих полномочия лица, представляющего заявителя, а также владение допускаемым объектом на праве собственности или ином законном основании или земельным участком, на котором расположен допускаемый объект (в случае если права на допускаемый объект не зарегистрированы). В случае если соответствующие права зарегистрированы в Едином государственном реестре недвижимости, представление копий документов, подтверждающих владение на праве собственности или ином законном основании доп...">
        <w:r>
          <w:rPr>
            <w:sz w:val="24"/>
            <w:color w:val="0000ff"/>
          </w:rPr>
          <w:t xml:space="preserve">подпунктом "а" пункта 17</w:t>
        </w:r>
      </w:hyperlink>
      <w:r>
        <w:rPr>
          <w:sz w:val="24"/>
        </w:rPr>
        <w:t xml:space="preserve"> и </w:t>
      </w:r>
      <w:hyperlink w:history="0" w:anchor="P172" w:tooltip="а) копии документов, подтверждающих полномочия лица, представляющего заявителя, а также владение электролабораторией на праве собственности или ином законном основании;">
        <w:r>
          <w:rPr>
            <w:sz w:val="24"/>
            <w:color w:val="0000ff"/>
          </w:rPr>
          <w:t xml:space="preserve">подпунктом "а" пункта 19</w:t>
        </w:r>
      </w:hyperlink>
      <w:r>
        <w:rPr>
          <w:sz w:val="24"/>
        </w:rPr>
        <w:t xml:space="preserve"> настоящих Правил);</w:t>
      </w:r>
    </w:p>
    <w:p>
      <w:pPr>
        <w:pStyle w:val="0"/>
        <w:spacing w:before="240" w:line-rule="auto"/>
        <w:ind w:firstLine="540"/>
        <w:jc w:val="both"/>
      </w:pPr>
      <w:r>
        <w:rPr>
          <w:sz w:val="24"/>
        </w:rPr>
        <w:t xml:space="preserve">б) несоответствие допускаемого объекта требованиям, установленным нормативными правовыми актами, предусмотренными </w:t>
      </w:r>
      <w:hyperlink w:history="0"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третьим, четвертым, шестым и седьмым пункта 2 статьи 28 Федерального закона &quot;Об электроэнергетике&quot;, и требованиям безопасности в сфере теплоснабжения, установленным в соответствии с пунктами 1 и 2 статьи 23.2 Федерального закона &quot;О теплоснабжении&quot;.">
        <w:r>
          <w:rPr>
            <w:sz w:val="24"/>
            <w:color w:val="0000ff"/>
          </w:rPr>
          <w:t xml:space="preserve">пунктом 24</w:t>
        </w:r>
      </w:hyperlink>
      <w:r>
        <w:rPr>
          <w:sz w:val="24"/>
        </w:rPr>
        <w:t xml:space="preserve"> настоящих Правил;</w:t>
      </w:r>
    </w:p>
    <w:p>
      <w:pPr>
        <w:pStyle w:val="0"/>
        <w:spacing w:before="240" w:line-rule="auto"/>
        <w:ind w:firstLine="540"/>
        <w:jc w:val="both"/>
      </w:pPr>
      <w:r>
        <w:rPr>
          <w:sz w:val="24"/>
        </w:rPr>
        <w:t xml:space="preserve">в) несоответствие условий эксплуатации допускаемого объекта требованиям, установленным нормативными правовыми актами, предусмотренными </w:t>
      </w:r>
      <w:hyperlink w:history="0"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третьим, четвертым, шестым и седьмым пункта 2 статьи 28 Федерального закона &quot;Об электроэнергетике&quot;, и требованиям безопасности в сфере теплоснабжения, установленным в соответствии с пунктами 1 и 2 статьи 23.2 Федерального закона &quot;О теплоснабжении&quot;.">
        <w:r>
          <w:rPr>
            <w:sz w:val="24"/>
            <w:color w:val="0000ff"/>
          </w:rPr>
          <w:t xml:space="preserve">пунктом 24</w:t>
        </w:r>
      </w:hyperlink>
      <w:r>
        <w:rPr>
          <w:sz w:val="24"/>
        </w:rPr>
        <w:t xml:space="preserve"> настоящих Правил;</w:t>
      </w:r>
    </w:p>
    <w:p>
      <w:pPr>
        <w:pStyle w:val="0"/>
        <w:spacing w:before="240" w:line-rule="auto"/>
        <w:ind w:firstLine="540"/>
        <w:jc w:val="both"/>
      </w:pPr>
      <w:r>
        <w:rPr>
          <w:sz w:val="24"/>
        </w:rPr>
        <w:t xml:space="preserve">г) незавершенность монтажа оборудования, наладочных работ и испытаний допускаемого объекта в объеме технических решений, соответствующем заявлению о выдаче разрешения на допуск, в случае отсутствия заключения о соответствии построенного объекта проектной документации;</w:t>
      </w:r>
    </w:p>
    <w:p>
      <w:pPr>
        <w:pStyle w:val="0"/>
        <w:spacing w:before="240" w:line-rule="auto"/>
        <w:ind w:firstLine="540"/>
        <w:jc w:val="both"/>
      </w:pPr>
      <w:r>
        <w:rPr>
          <w:sz w:val="24"/>
        </w:rPr>
        <w:t xml:space="preserve">д) отсутствие разрешения на допуск энергопринимающих устройств объекта теплоснабжения, теплопотребляющей установки в соответствии с </w:t>
      </w:r>
      <w:hyperlink w:history="0" w:anchor="P233" w:tooltip="27. Разрешение на допуск объекта теплоснабжения (в том числе объекта по производству электрической энергии, функционирующего в режиме комбинированной выработки электрической и тепловой энергии), теплопотребляющей установки выдается при наличии разрешения на допуск энергопринимающих устройств данного допускаемого объекта.">
        <w:r>
          <w:rPr>
            <w:sz w:val="24"/>
            <w:color w:val="0000ff"/>
          </w:rPr>
          <w:t xml:space="preserve">пунктом 27</w:t>
        </w:r>
      </w:hyperlink>
      <w:r>
        <w:rPr>
          <w:sz w:val="24"/>
        </w:rPr>
        <w:t xml:space="preserve"> настоящих Правил.</w:t>
      </w:r>
    </w:p>
    <w:bookmarkStart w:id="233" w:name="P233"/>
    <w:bookmarkEnd w:id="233"/>
    <w:p>
      <w:pPr>
        <w:pStyle w:val="0"/>
        <w:spacing w:before="240" w:line-rule="auto"/>
        <w:ind w:firstLine="540"/>
        <w:jc w:val="both"/>
      </w:pPr>
      <w:r>
        <w:rPr>
          <w:sz w:val="24"/>
        </w:rPr>
        <w:t xml:space="preserve">27. Разрешение на допуск объекта теплоснабжения (в том числе объекта по производству электрической энергии, функционирующего в режиме комбинированной выработки электрической и тепловой энергии), теплопотребляющей установки выдается при наличии разрешения на допуск энергопринимающих устройств данного допускаемого объекта.</w:t>
      </w:r>
    </w:p>
    <w:p>
      <w:pPr>
        <w:pStyle w:val="0"/>
        <w:spacing w:before="240" w:line-rule="auto"/>
        <w:ind w:firstLine="540"/>
        <w:jc w:val="both"/>
      </w:pPr>
      <w:r>
        <w:rPr>
          <w:sz w:val="24"/>
        </w:rPr>
        <w:t xml:space="preserve">28. В установленные </w:t>
      </w:r>
      <w:hyperlink w:history="0" w:anchor="P207" w:tooltip="23. В случае принятия заявления о выдаче разрешения на допуск к рассмотрению орган федерального государственного энергетического надзора в течение 10 рабочих дней (для заявления о выдаче временного разрешения на допуск и заявления о выдаче разрешения на допуск) или в течение 7 рабочих дней (для заявления о выдаче разрешения на допуск, если ранее выдано временное разрешение) со дня регистрации такого заявления, а в случаях, предусмотренных абзацем первым пункта 21 настоящих Правил, - со дня регистрации на...">
        <w:r>
          <w:rPr>
            <w:sz w:val="24"/>
            <w:color w:val="0000ff"/>
          </w:rPr>
          <w:t xml:space="preserve">пунктом 23</w:t>
        </w:r>
      </w:hyperlink>
      <w:r>
        <w:rPr>
          <w:sz w:val="24"/>
        </w:rPr>
        <w:t xml:space="preserve"> настоящих Правил сроки орган федерального государственного энергетического надзора направляет заявителю один из следующих документов:</w:t>
      </w:r>
    </w:p>
    <w:p>
      <w:pPr>
        <w:pStyle w:val="0"/>
        <w:jc w:val="both"/>
      </w:pPr>
      <w:r>
        <w:rPr>
          <w:sz w:val="24"/>
        </w:rPr>
        <w:t xml:space="preserve">(в ред. </w:t>
      </w:r>
      <w:hyperlink w:history="0" r:id="rId70"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quot; {КонсультантПлюс}">
        <w:r>
          <w:rPr>
            <w:sz w:val="24"/>
            <w:color w:val="0000ff"/>
          </w:rPr>
          <w:t xml:space="preserve">Постановления</w:t>
        </w:r>
      </w:hyperlink>
      <w:r>
        <w:rPr>
          <w:sz w:val="24"/>
        </w:rPr>
        <w:t xml:space="preserve"> Правительства РФ от 22.10.2021 N 1813)</w:t>
      </w:r>
    </w:p>
    <w:p>
      <w:pPr>
        <w:pStyle w:val="0"/>
        <w:spacing w:before="240" w:line-rule="auto"/>
        <w:ind w:firstLine="540"/>
        <w:jc w:val="both"/>
      </w:pPr>
      <w:r>
        <w:rPr>
          <w:sz w:val="24"/>
        </w:rPr>
        <w:t xml:space="preserve">уведомление о внесении сведений в реестр или разрешение на допуск в случаях, указанных в </w:t>
      </w:r>
      <w:hyperlink w:history="0" w:anchor="P53" w:tooltip="В случаях если федеральными органами исполнительной власти, уполномоченными на осуществление федерального государственного энергетического надзора (далее - органы федерального государственного энергетического надзора), являются Служба внешней разведки Российской Федерации, Федеральная служба охраны Российской Федерации, Федеральная служба безопасности Российской Федерации, Главное управление специальных программ Президента Российской Федерации и Министерство обороны Российской Федерации, разрешение на до...">
        <w:r>
          <w:rPr>
            <w:sz w:val="24"/>
            <w:color w:val="0000ff"/>
          </w:rPr>
          <w:t xml:space="preserve">абзаце втором пункта 2</w:t>
        </w:r>
      </w:hyperlink>
      <w:r>
        <w:rPr>
          <w:sz w:val="24"/>
        </w:rPr>
        <w:t xml:space="preserve"> настоящих Правил;</w:t>
      </w:r>
    </w:p>
    <w:p>
      <w:pPr>
        <w:pStyle w:val="0"/>
        <w:jc w:val="both"/>
      </w:pPr>
      <w:r>
        <w:rPr>
          <w:sz w:val="24"/>
        </w:rPr>
        <w:t xml:space="preserve">(в ред. </w:t>
      </w:r>
      <w:hyperlink w:history="0" r:id="rId71"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уведомление об отказе в выдаче разрешения на допуск с указанием причин отказа.</w:t>
      </w:r>
    </w:p>
    <w:p>
      <w:pPr>
        <w:pStyle w:val="0"/>
        <w:spacing w:before="240" w:line-rule="auto"/>
        <w:ind w:firstLine="540"/>
        <w:jc w:val="both"/>
      </w:pPr>
      <w:r>
        <w:rPr>
          <w:sz w:val="24"/>
        </w:rPr>
        <w:t xml:space="preserve">К разрешению на допуск или уведомлению о внесении сведений в реестр (уведомлению об отказе в выдаче разрешения на допуск), указанному в настоящем пункте, прилагается копия акта осмотра допускаемого объекта.</w:t>
      </w:r>
    </w:p>
    <w:p>
      <w:pPr>
        <w:pStyle w:val="0"/>
        <w:jc w:val="both"/>
      </w:pPr>
      <w:r>
        <w:rPr>
          <w:sz w:val="24"/>
        </w:rPr>
        <w:t xml:space="preserve">(в ред. </w:t>
      </w:r>
      <w:hyperlink w:history="0" r:id="rId72"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bookmarkStart w:id="241" w:name="P241"/>
    <w:bookmarkEnd w:id="241"/>
    <w:p>
      <w:pPr>
        <w:pStyle w:val="0"/>
        <w:spacing w:before="240" w:line-rule="auto"/>
        <w:ind w:firstLine="540"/>
        <w:jc w:val="both"/>
      </w:pPr>
      <w:r>
        <w:rPr>
          <w:sz w:val="24"/>
        </w:rPr>
        <w:t xml:space="preserve">29. Уведомление о внесении сведений в реестр (уведомление об отказе в выдаче разрешения на допуск) направляется заявителю в виде электронного документа с использованием информационно-телекоммуникационной сети "Интернет", в том числе посредством единого портала, или в форме документа на бумажном носителе по выбору заявителя, за исключением случаев, указанных в </w:t>
      </w:r>
      <w:hyperlink w:history="0" w:anchor="P53" w:tooltip="В случаях если федеральными органами исполнительной власти, уполномоченными на осуществление федерального государственного энергетического надзора (далее - органы федерального государственного энергетического надзора), являются Служба внешней разведки Российской Федерации, Федеральная служба охраны Российской Федерации, Федеральная служба безопасности Российской Федерации, Главное управление специальных программ Президента Российской Федерации и Министерство обороны Российской Федерации, разрешение на до...">
        <w:r>
          <w:rPr>
            <w:sz w:val="24"/>
            <w:color w:val="0000ff"/>
          </w:rPr>
          <w:t xml:space="preserve">абзаце втором пункта 2</w:t>
        </w:r>
      </w:hyperlink>
      <w:r>
        <w:rPr>
          <w:sz w:val="24"/>
        </w:rPr>
        <w:t xml:space="preserve"> настоящих Правил.</w:t>
      </w:r>
    </w:p>
    <w:p>
      <w:pPr>
        <w:pStyle w:val="0"/>
        <w:jc w:val="both"/>
      </w:pPr>
      <w:r>
        <w:rPr>
          <w:sz w:val="24"/>
        </w:rPr>
        <w:t xml:space="preserve">(в ред. </w:t>
      </w:r>
      <w:hyperlink w:history="0" r:id="rId73"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В случае если органами федерального государственного энергетического надзора являются федеральные органы исполнительной власти, указанные в </w:t>
      </w:r>
      <w:hyperlink w:history="0" w:anchor="P53" w:tooltip="В случаях если федеральными органами исполнительной власти, уполномоченными на осуществление федерального государственного энергетического надзора (далее - органы федерального государственного энергетического надзора), являются Служба внешней разведки Российской Федерации, Федеральная служба охраны Российской Федерации, Федеральная служба безопасности Российской Федерации, Главное управление специальных программ Президента Российской Федерации и Министерство обороны Российской Федерации, разрешение на до...">
        <w:r>
          <w:rPr>
            <w:sz w:val="24"/>
            <w:color w:val="0000ff"/>
          </w:rPr>
          <w:t xml:space="preserve">абзаце втором пункта 2</w:t>
        </w:r>
      </w:hyperlink>
      <w:r>
        <w:rPr>
          <w:sz w:val="24"/>
        </w:rPr>
        <w:t xml:space="preserve"> настоящих Правил, разрешение на допуск (уведомление об отказе в выдаче разрешения на допуск) вручается заявителю на бумажном носителе или направляется посредством почтового отправления с уведомлением о вручении.</w:t>
      </w:r>
    </w:p>
    <w:p>
      <w:pPr>
        <w:pStyle w:val="0"/>
        <w:jc w:val="both"/>
      </w:pPr>
      <w:r>
        <w:rPr>
          <w:sz w:val="24"/>
        </w:rPr>
        <w:t xml:space="preserve">(абзац введен </w:t>
      </w:r>
      <w:hyperlink w:history="0" r:id="rId74" w:tooltip="Постановление Правительства РФ от 03.02.2023 N 159 (ред. от 20.10.202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03.02.2023 N 159; в ред. </w:t>
      </w:r>
      <w:hyperlink w:history="0" r:id="rId75"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Причины отказа в выдаче разрешения на допуск фиксируются с учетом требований </w:t>
      </w:r>
      <w:hyperlink w:history="0" w:anchor="P227" w:tooltip="26. Основаниями для отказа в выдаче разрешения на допуск являются:">
        <w:r>
          <w:rPr>
            <w:sz w:val="24"/>
            <w:color w:val="0000ff"/>
          </w:rPr>
          <w:t xml:space="preserve">пункта 26</w:t>
        </w:r>
      </w:hyperlink>
      <w:r>
        <w:rPr>
          <w:sz w:val="24"/>
        </w:rPr>
        <w:t xml:space="preserve"> настоящих Правил в акте осмотра, оформляемом в соответствии с </w:t>
      </w:r>
      <w:hyperlink w:history="0" w:anchor="P217" w:tooltip="25. Осмотр допускаемого объекта (далее - осмотр) проводится должностным лицом (должностными лицами) органа федерального государственного энергетического надзора без привлечения иных лиц.">
        <w:r>
          <w:rPr>
            <w:sz w:val="24"/>
            <w:color w:val="0000ff"/>
          </w:rPr>
          <w:t xml:space="preserve">пунктом 25</w:t>
        </w:r>
      </w:hyperlink>
      <w:r>
        <w:rPr>
          <w:sz w:val="24"/>
        </w:rPr>
        <w:t xml:space="preserve"> настоящих Правил.</w:t>
      </w:r>
    </w:p>
    <w:p>
      <w:pPr>
        <w:pStyle w:val="0"/>
        <w:spacing w:before="240" w:line-rule="auto"/>
        <w:ind w:firstLine="540"/>
        <w:jc w:val="both"/>
      </w:pPr>
      <w:r>
        <w:rPr>
          <w:sz w:val="24"/>
        </w:rPr>
        <w:t xml:space="preserve">В случае отказа в выдаче разрешения на допуск заявление о выдаче разрешения на допуск и прилагаемые к нему документы, представленные на бумажном носителе, подлежат возврату заявителю в течение 5 рабочих дней с даты подписания акта осмотра.</w:t>
      </w:r>
    </w:p>
    <w:p>
      <w:pPr>
        <w:pStyle w:val="0"/>
        <w:spacing w:before="240" w:line-rule="auto"/>
        <w:ind w:firstLine="540"/>
        <w:jc w:val="both"/>
      </w:pPr>
      <w:r>
        <w:rPr>
          <w:sz w:val="24"/>
        </w:rPr>
        <w:t xml:space="preserve">30. Разрешение на допуск (за исключением временного разрешения) действует бессрочно. Временное разрешение действует 180 суток.</w:t>
      </w:r>
    </w:p>
    <w:p>
      <w:pPr>
        <w:pStyle w:val="0"/>
        <w:spacing w:before="240" w:line-rule="auto"/>
        <w:ind w:firstLine="540"/>
        <w:jc w:val="both"/>
      </w:pPr>
      <w:r>
        <w:rPr>
          <w:sz w:val="24"/>
        </w:rPr>
        <w:t xml:space="preserve">В случае готовности к эксплуатации в полном объеме допускаемого объекта, в отношении которого выдано временное разрешение, заявитель вправе обратиться в орган федерального государственного энергетического надзора с заявлением о выдаче разрешения на допуск до истечения срока действия временного разрешения.</w:t>
      </w:r>
    </w:p>
    <w:p>
      <w:pPr>
        <w:pStyle w:val="0"/>
        <w:jc w:val="both"/>
      </w:pPr>
      <w:r>
        <w:rPr>
          <w:sz w:val="24"/>
        </w:rPr>
        <w:t xml:space="preserve">(п. 30 в ред. </w:t>
      </w:r>
      <w:hyperlink w:history="0" r:id="rId76" w:tooltip="Постановление Правительства РФ от 22.10.2021 N 1813 &quot;О внесении изменений в Правила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quot; {КонсультантПлюс}">
        <w:r>
          <w:rPr>
            <w:sz w:val="24"/>
            <w:color w:val="0000ff"/>
          </w:rPr>
          <w:t xml:space="preserve">Постановления</w:t>
        </w:r>
      </w:hyperlink>
      <w:r>
        <w:rPr>
          <w:sz w:val="24"/>
        </w:rPr>
        <w:t xml:space="preserve"> Правительства РФ от 22.10.2021 N 1813)</w:t>
      </w:r>
    </w:p>
    <w:p>
      <w:pPr>
        <w:pStyle w:val="0"/>
        <w:spacing w:before="240" w:line-rule="auto"/>
        <w:ind w:firstLine="540"/>
        <w:jc w:val="both"/>
      </w:pPr>
      <w:r>
        <w:rPr>
          <w:sz w:val="24"/>
        </w:rPr>
        <w:t xml:space="preserve">31. В случае неготовности допускаемого объекта к получению разрешения на допуск по истечении срока действия временного разрешения заявитель вправе однократно обратиться в орган федерального государственного энергетического надзора с заявлением о продлении срока действия временного разрешения на период, не превышающий 90 суток с даты прекращения действия ранее выданного разрешения.</w:t>
      </w:r>
    </w:p>
    <w:p>
      <w:pPr>
        <w:pStyle w:val="0"/>
        <w:spacing w:before="240" w:line-rule="auto"/>
        <w:ind w:firstLine="540"/>
        <w:jc w:val="both"/>
      </w:pPr>
      <w:r>
        <w:rPr>
          <w:sz w:val="24"/>
        </w:rPr>
        <w:t xml:space="preserve">Срок рассмотрения заявления о продлении срока действия временного разрешения составляет 3 рабочих дня.</w:t>
      </w:r>
    </w:p>
    <w:p>
      <w:pPr>
        <w:pStyle w:val="0"/>
        <w:jc w:val="both"/>
      </w:pPr>
      <w:r>
        <w:rPr>
          <w:sz w:val="24"/>
        </w:rPr>
        <w:t xml:space="preserve">(абзац введен </w:t>
      </w:r>
      <w:hyperlink w:history="0" r:id="rId77"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Постановлением</w:t>
        </w:r>
      </w:hyperlink>
      <w:r>
        <w:rPr>
          <w:sz w:val="24"/>
        </w:rPr>
        <w:t xml:space="preserve"> Правительства РФ от 04.12.2024 N 1711)</w:t>
      </w:r>
    </w:p>
    <w:p>
      <w:pPr>
        <w:pStyle w:val="0"/>
        <w:spacing w:before="240" w:line-rule="auto"/>
        <w:ind w:firstLine="540"/>
        <w:jc w:val="both"/>
      </w:pPr>
      <w:r>
        <w:rPr>
          <w:sz w:val="24"/>
        </w:rPr>
        <w:t xml:space="preserve">В заявлении о продлении срока действия временного разрешения указываются причина и обоснование необходимости его продления с приложением графика пусконаладочных работ.</w:t>
      </w:r>
    </w:p>
    <w:p>
      <w:pPr>
        <w:pStyle w:val="0"/>
        <w:spacing w:before="240" w:line-rule="auto"/>
        <w:ind w:firstLine="540"/>
        <w:jc w:val="both"/>
      </w:pPr>
      <w:r>
        <w:rPr>
          <w:sz w:val="24"/>
        </w:rPr>
        <w:t xml:space="preserve">В случае неготовности допускаемого объекта к эксплуатации по истечении установленного срока с учетом его продления временное разрешение прекращает свое действие, а процедура получения повторного временного разрешения осуществляется в соответствии с порядком, установленным настоящими Правилами.</w:t>
      </w:r>
    </w:p>
    <w:bookmarkStart w:id="255" w:name="P255"/>
    <w:bookmarkEnd w:id="255"/>
    <w:p>
      <w:pPr>
        <w:pStyle w:val="0"/>
        <w:spacing w:before="240" w:line-rule="auto"/>
        <w:ind w:firstLine="540"/>
        <w:jc w:val="both"/>
      </w:pPr>
      <w:r>
        <w:rPr>
          <w:sz w:val="24"/>
        </w:rPr>
        <w:t xml:space="preserve">32. Утратил силу с 1 марта 2025 года. - </w:t>
      </w:r>
      <w:hyperlink w:history="0" r:id="rId78"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Постановление</w:t>
        </w:r>
      </w:hyperlink>
      <w:r>
        <w:rPr>
          <w:sz w:val="24"/>
        </w:rPr>
        <w:t xml:space="preserve"> Правительства РФ от 04.12.2024 N 1711.</w:t>
      </w:r>
    </w:p>
    <w:p>
      <w:pPr>
        <w:pStyle w:val="0"/>
        <w:spacing w:before="240" w:line-rule="auto"/>
        <w:ind w:firstLine="540"/>
        <w:jc w:val="both"/>
      </w:pPr>
      <w:r>
        <w:rPr>
          <w:sz w:val="24"/>
        </w:rPr>
        <w:t xml:space="preserve">33. Реестр ведется органом федерального государственного энергетического надзора и размещается на его официальном сайте (за исключением реестра, ведение которого осуществляется Федеральной службой безопасности Российской Федерации).</w:t>
      </w:r>
    </w:p>
    <w:p>
      <w:pPr>
        <w:pStyle w:val="0"/>
        <w:jc w:val="both"/>
      </w:pPr>
      <w:r>
        <w:rPr>
          <w:sz w:val="24"/>
        </w:rPr>
        <w:t xml:space="preserve">(в ред. </w:t>
      </w:r>
      <w:hyperlink w:history="0" r:id="rId79" w:tooltip="Постановление Правительства РФ от 03.02.2023 N 159 (ред. от 20.10.2023)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03.02.2023 N 159)</w:t>
      </w:r>
    </w:p>
    <w:p>
      <w:pPr>
        <w:pStyle w:val="0"/>
        <w:spacing w:before="240" w:line-rule="auto"/>
        <w:ind w:firstLine="540"/>
        <w:jc w:val="both"/>
      </w:pPr>
      <w:r>
        <w:rPr>
          <w:sz w:val="24"/>
        </w:rPr>
        <w:t xml:space="preserve">Форма и порядок ведения реестра, требования к составу сведений о допускаемых объектах, подлежащих включению в реестр, порядок внесения изменений в реестр, в том числе исправление допущенных опечаток и (или) ошибок, а также порядок получения выписок из реестра, требования к их содержанию и сроку действия устанавливаются органом федерального государственного энергетического надзора.</w:t>
      </w:r>
    </w:p>
    <w:p>
      <w:pPr>
        <w:pStyle w:val="0"/>
        <w:jc w:val="both"/>
      </w:pPr>
      <w:r>
        <w:rPr>
          <w:sz w:val="24"/>
        </w:rPr>
        <w:t xml:space="preserve">(в ред. </w:t>
      </w:r>
      <w:hyperlink w:history="0" r:id="rId80"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Исправление ошибок (опечаток) в реестре осуществляется органом федерального государственного энергетического надзора, вносившим сведения в реестр, в течение 3 рабочих дней со дня получения соответствующего заявления об их исправлении.</w:t>
      </w:r>
    </w:p>
    <w:p>
      <w:pPr>
        <w:pStyle w:val="0"/>
        <w:jc w:val="both"/>
      </w:pPr>
      <w:r>
        <w:rPr>
          <w:sz w:val="24"/>
        </w:rPr>
        <w:t xml:space="preserve">(в ред. </w:t>
      </w:r>
      <w:hyperlink w:history="0" r:id="rId81"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rPr>
        <w:t xml:space="preserve"> Правительства РФ от 04.12.2024 N 1711)</w:t>
      </w:r>
    </w:p>
    <w:p>
      <w:pPr>
        <w:pStyle w:val="0"/>
        <w:spacing w:before="240" w:line-rule="auto"/>
        <w:ind w:firstLine="540"/>
        <w:jc w:val="both"/>
      </w:pPr>
      <w:r>
        <w:rPr>
          <w:sz w:val="24"/>
        </w:rPr>
        <w:t xml:space="preserve">Абзац утратил силу с 1 марта 2025 года. - </w:t>
      </w:r>
      <w:hyperlink w:history="0" r:id="rId82"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Постановление</w:t>
        </w:r>
      </w:hyperlink>
      <w:r>
        <w:rPr>
          <w:sz w:val="24"/>
        </w:rPr>
        <w:t xml:space="preserve"> Правительства РФ от 04.12.2024 N 1711.</w:t>
      </w:r>
    </w:p>
    <w:p>
      <w:pPr>
        <w:pStyle w:val="0"/>
        <w:spacing w:before="240" w:line-rule="auto"/>
        <w:ind w:firstLine="540"/>
        <w:jc w:val="both"/>
      </w:pPr>
      <w:r>
        <w:rPr>
          <w:sz w:val="24"/>
        </w:rPr>
        <w:t xml:space="preserve">33(1). После внесения сведений в реестр Федеральная служба по экологическому, технологическому и атомному надзору в день принятия решения о выдаче разрешения на допуск направляет заявителю уведомление о внесении сведений в реестр в виде электронного документа с использованием информационно-телекоммуникационной сети "Интернет", в том числе посредством единого портала, или в форме документа на бумажном носителе по выбору заявителя.</w:t>
      </w:r>
    </w:p>
    <w:p>
      <w:pPr>
        <w:pStyle w:val="0"/>
        <w:spacing w:before="240" w:line-rule="auto"/>
        <w:ind w:firstLine="540"/>
        <w:jc w:val="both"/>
      </w:pPr>
      <w:r>
        <w:rPr>
          <w:sz w:val="24"/>
        </w:rPr>
        <w:t xml:space="preserve">Выписка из реестра предоставляется на основании запроса заявителя или иного заинтересованного лица в виде электронного документа с использованием информационно-телекоммуникационной сети "Интернет", в том числе посредством единого портала, или в форме документа на бумажном носителе по выбору лица, обратившегося за предоставлением выписки, в срок, не превышающий одного рабочего дня со дня регистрации запроса.</w:t>
      </w:r>
    </w:p>
    <w:p>
      <w:pPr>
        <w:pStyle w:val="0"/>
        <w:spacing w:before="240" w:line-rule="auto"/>
        <w:ind w:firstLine="540"/>
        <w:jc w:val="both"/>
      </w:pPr>
      <w:r>
        <w:rPr>
          <w:sz w:val="24"/>
        </w:rPr>
        <w:t xml:space="preserve">Выписка из реестра, предоставляемая в форме электронного документа, подписывается усиленной квалифицированной электронной подписью.</w:t>
      </w:r>
    </w:p>
    <w:p>
      <w:pPr>
        <w:pStyle w:val="0"/>
        <w:spacing w:before="240" w:line-rule="auto"/>
        <w:ind w:firstLine="540"/>
        <w:jc w:val="both"/>
      </w:pPr>
      <w:r>
        <w:rPr>
          <w:sz w:val="24"/>
        </w:rPr>
        <w:t xml:space="preserve">Взимание платы за предоставление выписки из реестра не допускается.</w:t>
      </w:r>
    </w:p>
    <w:p>
      <w:pPr>
        <w:pStyle w:val="0"/>
        <w:spacing w:before="240" w:line-rule="auto"/>
        <w:ind w:firstLine="540"/>
        <w:jc w:val="both"/>
      </w:pPr>
      <w:r>
        <w:rPr>
          <w:sz w:val="24"/>
        </w:rPr>
        <w:t xml:space="preserve">На выписку из реестра должен быть нанесен двухмерный штриховой код (QR-код), содержащий в кодированном виде адрес страницы в информационно-телекоммуникационной сети "Интернет" с размещенными на ней записями из единого реестра учета лицензий. При помощи двухмерного штрихового кода, нанесенного на выписку из реестра, должно быть обеспечено отображение записей в отношении конкретного разрешения на допуск, включая информацию об актуальности содержания выписки из реестра. Указанное отображение должно обеспечиваться в том числе в форме, применимой к использованию в мобильном приложении единого портала.</w:t>
      </w:r>
    </w:p>
    <w:p>
      <w:pPr>
        <w:pStyle w:val="0"/>
        <w:spacing w:before="240" w:line-rule="auto"/>
        <w:ind w:firstLine="540"/>
        <w:jc w:val="both"/>
      </w:pPr>
      <w:r>
        <w:rPr>
          <w:sz w:val="24"/>
        </w:rPr>
        <w:t xml:space="preserve">При поступлении в Федеральную службу по экологическому, технологическому и атомному надзору информации об изменении фамилии, имени или отчества (при наличии), реквизитов документа, удостоверяющего личность, индивидуального номера налогоплательщика, организационно-правовой формы, наименования организации, наименования допускаемого объекта изменения в реестр вносятся в срок, не превышающий 3 рабочих дней со дня поступления информации.</w:t>
      </w:r>
    </w:p>
    <w:p>
      <w:pPr>
        <w:pStyle w:val="0"/>
        <w:spacing w:before="240" w:line-rule="auto"/>
        <w:ind w:firstLine="540"/>
        <w:jc w:val="both"/>
      </w:pPr>
      <w:r>
        <w:rPr>
          <w:sz w:val="24"/>
        </w:rPr>
        <w:t xml:space="preserve">Уведомление о внесении изменений в реестр направляется заявителю, представившему заявление о внесении таких изменений, в день их внесения. Территориальный орган Федеральной службы по экологическому, технологическому и атомному надзору направляет такое уведомление посредством заказного почтового отправления с уведомлением о вручении или электронного документа с использованием информационно-телекоммуникационной сети "Интернет", подписанного усиленной квалифицированной электронной подписью, в том числе посредством единого портала (в форме, указанной в заявлении о внесении изменений).</w:t>
      </w:r>
    </w:p>
    <w:p>
      <w:pPr>
        <w:pStyle w:val="0"/>
        <w:jc w:val="both"/>
      </w:pPr>
      <w:r>
        <w:rPr>
          <w:sz w:val="24"/>
        </w:rPr>
        <w:t xml:space="preserve">(п. 33(1) введен </w:t>
      </w:r>
      <w:hyperlink w:history="0" r:id="rId83"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Постановлением</w:t>
        </w:r>
      </w:hyperlink>
      <w:r>
        <w:rPr>
          <w:sz w:val="24"/>
        </w:rPr>
        <w:t xml:space="preserve"> Правительства РФ от 04.12.2024 N 1711)</w:t>
      </w:r>
    </w:p>
    <w:bookmarkStart w:id="271" w:name="P271"/>
    <w:bookmarkEnd w:id="271"/>
    <w:p>
      <w:pPr>
        <w:pStyle w:val="0"/>
        <w:spacing w:before="240" w:line-rule="auto"/>
        <w:ind w:firstLine="540"/>
        <w:jc w:val="both"/>
      </w:pPr>
      <w:r>
        <w:rPr>
          <w:sz w:val="24"/>
        </w:rPr>
        <w:t xml:space="preserve">34. Утратил силу с 1 марта 2025 года. - </w:t>
      </w:r>
      <w:hyperlink w:history="0" r:id="rId84"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Постановление</w:t>
        </w:r>
      </w:hyperlink>
      <w:r>
        <w:rPr>
          <w:sz w:val="24"/>
        </w:rPr>
        <w:t xml:space="preserve"> Правительства РФ от 04.12.2024 N 1711.</w:t>
      </w:r>
    </w:p>
    <w:p>
      <w:pPr>
        <w:pStyle w:val="0"/>
        <w:spacing w:before="240" w:line-rule="auto"/>
        <w:ind w:firstLine="540"/>
        <w:jc w:val="both"/>
      </w:pPr>
      <w:r>
        <w:rPr>
          <w:sz w:val="24"/>
        </w:rPr>
        <w:t xml:space="preserve">35. Решение органа федерального государственного энергетического надзора об отказе в выдаче разрешения на допуск может быть обжаловано заявителем в порядке, установленном законодательством Российской Федерации.</w:t>
      </w:r>
    </w:p>
    <w:p>
      <w:pPr>
        <w:pStyle w:val="0"/>
        <w:spacing w:before="240" w:line-rule="auto"/>
        <w:ind w:firstLine="540"/>
        <w:jc w:val="both"/>
      </w:pPr>
      <w:r>
        <w:rPr>
          <w:sz w:val="24"/>
        </w:rPr>
        <w:t xml:space="preserve">36. Оформление разрешения на допуск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теплопотребляющих установок для включения их в работу при проведении аварийно-восстановительных работ в условиях ликвидации аварийных ситуаций в работе электроэнергетической системы, системы теплоснабжения и (или) при восстановлении электро- или теплоснабжения потребителей не требуется. О вводе в работу таких энергоустановок их собственник (иной законный владелец) в письменной форме уведомляет орган федерального государственного энергетического надзора в течение 10 рабочих дней после ввода энергоустановок в работу с указанием причины. Получение в отношении указанных энергоустановок разрешения на допуск в эксплуатацию энергоустановки (временного разрешения) в установленном настоящими Правилами порядке осуществляется в течение 90 календарных дней после ввода их в работу для целей, указанных в настоящем пункте.</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1</w:t>
      </w:r>
    </w:p>
    <w:p>
      <w:pPr>
        <w:pStyle w:val="0"/>
        <w:jc w:val="right"/>
      </w:pPr>
      <w:r>
        <w:rPr>
          <w:sz w:val="24"/>
        </w:rPr>
        <w:t xml:space="preserve">к Правилам выдачи разрешений</w:t>
      </w:r>
    </w:p>
    <w:p>
      <w:pPr>
        <w:pStyle w:val="0"/>
        <w:jc w:val="right"/>
      </w:pPr>
      <w:r>
        <w:rPr>
          <w:sz w:val="24"/>
        </w:rPr>
        <w:t xml:space="preserve">на допуск в эксплуатацию</w:t>
      </w:r>
    </w:p>
    <w:p>
      <w:pPr>
        <w:pStyle w:val="0"/>
        <w:jc w:val="right"/>
      </w:pPr>
      <w:r>
        <w:rPr>
          <w:sz w:val="24"/>
        </w:rPr>
        <w:t xml:space="preserve">энергопринимающих установок</w:t>
      </w:r>
    </w:p>
    <w:p>
      <w:pPr>
        <w:pStyle w:val="0"/>
        <w:jc w:val="right"/>
      </w:pPr>
      <w:r>
        <w:rPr>
          <w:sz w:val="24"/>
        </w:rPr>
        <w:t xml:space="preserve">потребителей электрической энергии,</w:t>
      </w:r>
    </w:p>
    <w:p>
      <w:pPr>
        <w:pStyle w:val="0"/>
        <w:jc w:val="right"/>
      </w:pPr>
      <w:r>
        <w:rPr>
          <w:sz w:val="24"/>
        </w:rPr>
        <w:t xml:space="preserve">объектов по производству электрической</w:t>
      </w:r>
    </w:p>
    <w:p>
      <w:pPr>
        <w:pStyle w:val="0"/>
        <w:jc w:val="right"/>
      </w:pPr>
      <w:r>
        <w:rPr>
          <w:sz w:val="24"/>
        </w:rPr>
        <w:t xml:space="preserve">энергии, объектов электросетевого</w:t>
      </w:r>
    </w:p>
    <w:p>
      <w:pPr>
        <w:pStyle w:val="0"/>
        <w:jc w:val="right"/>
      </w:pPr>
      <w:r>
        <w:rPr>
          <w:sz w:val="24"/>
        </w:rPr>
        <w:t xml:space="preserve">хозяйства, объектов теплоснабжения</w:t>
      </w:r>
    </w:p>
    <w:p>
      <w:pPr>
        <w:pStyle w:val="0"/>
        <w:jc w:val="right"/>
      </w:pPr>
      <w:r>
        <w:rPr>
          <w:sz w:val="24"/>
        </w:rPr>
        <w:t xml:space="preserve">и теплопотребляющих установок</w:t>
      </w:r>
    </w:p>
    <w:p>
      <w:pPr>
        <w:pStyle w:val="0"/>
        <w:jc w:val="both"/>
      </w:pPr>
      <w:r>
        <w:rPr>
          <w:sz w:val="24"/>
        </w:rPr>
      </w:r>
    </w:p>
    <w:p>
      <w:pPr>
        <w:pStyle w:val="0"/>
        <w:jc w:val="right"/>
      </w:pPr>
      <w:r>
        <w:rPr>
          <w:sz w:val="24"/>
        </w:rPr>
        <w:t xml:space="preserve">(форма)</w:t>
      </w:r>
    </w:p>
    <w:p>
      <w:pPr>
        <w:pStyle w:val="0"/>
        <w:jc w:val="both"/>
      </w:pPr>
      <w:r>
        <w:rPr>
          <w:sz w:val="24"/>
        </w:rPr>
      </w:r>
    </w:p>
    <w:tbl>
      <w:tblPr>
        <w:tblInd w:w="0" w:type="dxa"/>
        <w:tblLayout w:type="fixed"/>
        <w:tblCellMar>
          <w:top w:w="102" w:type="dxa"/>
          <w:left w:w="62" w:type="dxa"/>
          <w:bottom w:w="102" w:type="dxa"/>
          <w:right w:w="62" w:type="dxa"/>
        </w:tblCellMar>
      </w:tblPr>
      <w:tblGrid>
        <w:gridCol w:w="4531"/>
        <w:gridCol w:w="1417"/>
        <w:gridCol w:w="340"/>
        <w:gridCol w:w="2438"/>
        <w:gridCol w:w="340"/>
      </w:tblGrid>
      <w:tr>
        <w:tc>
          <w:tcPr>
            <w:tcW w:w="4531" w:type="dxa"/>
            <w:tcBorders>
              <w:top w:val="nil"/>
              <w:left w:val="nil"/>
              <w:bottom w:val="nil"/>
              <w:right w:val="nil"/>
            </w:tcBorders>
          </w:tcPr>
          <w:p>
            <w:pPr>
              <w:pStyle w:val="0"/>
            </w:pPr>
            <w:r>
              <w:rPr>
                <w:sz w:val="24"/>
              </w:rPr>
            </w:r>
          </w:p>
        </w:tc>
        <w:tc>
          <w:tcPr>
            <w:gridSpan w:val="4"/>
            <w:tcW w:w="4535" w:type="dxa"/>
            <w:vAlign w:val="bottom"/>
            <w:tcBorders>
              <w:top w:val="nil"/>
              <w:left w:val="nil"/>
              <w:bottom w:val="nil"/>
              <w:right w:val="nil"/>
            </w:tcBorders>
          </w:tcPr>
          <w:p>
            <w:pPr>
              <w:pStyle w:val="0"/>
              <w:jc w:val="right"/>
            </w:pPr>
            <w:r>
              <w:rPr>
                <w:sz w:val="24"/>
              </w:rPr>
              <w:t xml:space="preserve">(На бланке органа федерального государственного энергетического надзора)</w:t>
            </w:r>
          </w:p>
        </w:tc>
      </w:tr>
      <w:tr>
        <w:tc>
          <w:tcPr>
            <w:tcW w:w="4531" w:type="dxa"/>
            <w:tcBorders>
              <w:top w:val="nil"/>
              <w:left w:val="nil"/>
              <w:bottom w:val="nil"/>
              <w:right w:val="nil"/>
            </w:tcBorders>
          </w:tcPr>
          <w:p>
            <w:pPr>
              <w:pStyle w:val="0"/>
            </w:pPr>
            <w:r>
              <w:rPr>
                <w:sz w:val="24"/>
              </w:rPr>
            </w:r>
          </w:p>
        </w:tc>
        <w:tc>
          <w:tcPr>
            <w:gridSpan w:val="4"/>
            <w:tcW w:w="4535" w:type="dxa"/>
            <w:tcBorders>
              <w:top w:val="nil"/>
              <w:left w:val="nil"/>
              <w:bottom w:val="nil"/>
              <w:right w:val="nil"/>
            </w:tcBorders>
          </w:tcPr>
          <w:p>
            <w:pPr>
              <w:pStyle w:val="0"/>
            </w:pPr>
            <w:r>
              <w:rPr>
                <w:sz w:val="24"/>
              </w:rPr>
            </w:r>
          </w:p>
        </w:tc>
      </w:tr>
      <w:tr>
        <w:tc>
          <w:tcPr>
            <w:tcW w:w="4531" w:type="dxa"/>
            <w:tcBorders>
              <w:top w:val="nil"/>
              <w:left w:val="nil"/>
              <w:bottom w:val="nil"/>
              <w:right w:val="nil"/>
            </w:tcBorders>
          </w:tcPr>
          <w:p>
            <w:pPr>
              <w:pStyle w:val="0"/>
            </w:pPr>
            <w:r>
              <w:rPr>
                <w:sz w:val="24"/>
              </w:rPr>
            </w:r>
          </w:p>
        </w:tc>
        <w:tc>
          <w:tcPr>
            <w:gridSpan w:val="4"/>
            <w:tcW w:w="4535" w:type="dxa"/>
            <w:vAlign w:val="bottom"/>
            <w:tcBorders>
              <w:top w:val="nil"/>
              <w:left w:val="nil"/>
              <w:bottom w:val="nil"/>
              <w:right w:val="nil"/>
            </w:tcBorders>
          </w:tcPr>
          <w:p>
            <w:pPr>
              <w:pStyle w:val="0"/>
              <w:jc w:val="center"/>
            </w:pPr>
            <w:r>
              <w:rPr>
                <w:sz w:val="24"/>
              </w:rPr>
              <w:t xml:space="preserve">УТВЕРЖДАЮ</w:t>
            </w:r>
          </w:p>
        </w:tc>
      </w:tr>
      <w:tr>
        <w:tc>
          <w:tcPr>
            <w:tcW w:w="4531" w:type="dxa"/>
            <w:tcBorders>
              <w:top w:val="nil"/>
              <w:left w:val="nil"/>
              <w:bottom w:val="nil"/>
              <w:right w:val="nil"/>
            </w:tcBorders>
          </w:tcPr>
          <w:p>
            <w:pPr>
              <w:pStyle w:val="0"/>
            </w:pPr>
            <w:r>
              <w:rPr>
                <w:sz w:val="24"/>
              </w:rPr>
            </w:r>
          </w:p>
        </w:tc>
        <w:tc>
          <w:tcPr>
            <w:gridSpan w:val="4"/>
            <w:tcW w:w="4535" w:type="dxa"/>
            <w:tcBorders>
              <w:top w:val="nil"/>
              <w:left w:val="nil"/>
              <w:bottom w:val="single" w:sz="4"/>
              <w:right w:val="nil"/>
            </w:tcBorders>
          </w:tcPr>
          <w:p>
            <w:pPr>
              <w:pStyle w:val="0"/>
            </w:pPr>
            <w:r>
              <w:rPr>
                <w:sz w:val="24"/>
              </w:rPr>
            </w:r>
          </w:p>
        </w:tc>
      </w:tr>
      <w:tr>
        <w:tc>
          <w:tcPr>
            <w:tcW w:w="4531" w:type="dxa"/>
            <w:tcBorders>
              <w:top w:val="nil"/>
              <w:left w:val="nil"/>
              <w:bottom w:val="nil"/>
              <w:right w:val="nil"/>
            </w:tcBorders>
          </w:tcPr>
          <w:p>
            <w:pPr>
              <w:pStyle w:val="0"/>
            </w:pPr>
            <w:r>
              <w:rPr>
                <w:sz w:val="24"/>
              </w:rPr>
            </w:r>
          </w:p>
        </w:tc>
        <w:tc>
          <w:tcPr>
            <w:gridSpan w:val="4"/>
            <w:tcW w:w="4535" w:type="dxa"/>
            <w:vAlign w:val="bottom"/>
            <w:tcBorders>
              <w:top w:val="single" w:sz="4"/>
              <w:left w:val="nil"/>
              <w:bottom w:val="nil"/>
              <w:right w:val="nil"/>
            </w:tcBorders>
          </w:tcPr>
          <w:p>
            <w:pPr>
              <w:pStyle w:val="0"/>
              <w:jc w:val="center"/>
            </w:pPr>
            <w:r>
              <w:rPr>
                <w:sz w:val="24"/>
              </w:rPr>
              <w:t xml:space="preserve">(должность)</w:t>
            </w:r>
          </w:p>
        </w:tc>
      </w:tr>
      <w:tr>
        <w:tc>
          <w:tcPr>
            <w:tcW w:w="4531" w:type="dxa"/>
            <w:tcBorders>
              <w:top w:val="nil"/>
              <w:left w:val="nil"/>
              <w:bottom w:val="nil"/>
              <w:right w:val="nil"/>
            </w:tcBorders>
          </w:tcPr>
          <w:p>
            <w:pPr>
              <w:pStyle w:val="0"/>
            </w:pPr>
            <w:r>
              <w:rPr>
                <w:sz w:val="24"/>
              </w:rPr>
            </w:r>
          </w:p>
        </w:tc>
        <w:tc>
          <w:tcPr>
            <w:tcW w:w="1417" w:type="dxa"/>
            <w:vAlign w:val="bottom"/>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center"/>
            </w:pPr>
            <w:r>
              <w:rPr>
                <w:sz w:val="24"/>
              </w:rPr>
              <w:t xml:space="preserve">/</w:t>
            </w:r>
          </w:p>
        </w:tc>
        <w:tc>
          <w:tcPr>
            <w:tcW w:w="2438"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t xml:space="preserve">/</w:t>
            </w:r>
          </w:p>
        </w:tc>
      </w:tr>
      <w:tr>
        <w:tc>
          <w:tcPr>
            <w:tcW w:w="4531" w:type="dxa"/>
            <w:tcBorders>
              <w:top w:val="nil"/>
              <w:left w:val="nil"/>
              <w:bottom w:val="nil"/>
              <w:right w:val="nil"/>
            </w:tcBorders>
          </w:tcPr>
          <w:p>
            <w:pPr>
              <w:pStyle w:val="0"/>
            </w:pPr>
            <w:r>
              <w:rPr>
                <w:sz w:val="24"/>
              </w:rPr>
            </w:r>
          </w:p>
        </w:tc>
        <w:tc>
          <w:tcPr>
            <w:tcW w:w="1417"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438" w:type="dxa"/>
            <w:tcBorders>
              <w:top w:val="single" w:sz="4"/>
              <w:left w:val="nil"/>
              <w:bottom w:val="nil"/>
              <w:right w:val="nil"/>
            </w:tcBorders>
          </w:tcPr>
          <w:p>
            <w:pPr>
              <w:pStyle w:val="0"/>
              <w:jc w:val="center"/>
            </w:pPr>
            <w:r>
              <w:rPr>
                <w:sz w:val="24"/>
              </w:rPr>
              <w:t xml:space="preserve">ф.и.о.</w:t>
            </w:r>
          </w:p>
        </w:tc>
        <w:tc>
          <w:tcPr>
            <w:tcW w:w="340" w:type="dxa"/>
            <w:tcBorders>
              <w:top w:val="nil"/>
              <w:left w:val="nil"/>
              <w:bottom w:val="nil"/>
              <w:right w:val="nil"/>
            </w:tcBorders>
          </w:tcPr>
          <w:p>
            <w:pPr>
              <w:pStyle w:val="0"/>
            </w:pPr>
            <w:r>
              <w:rPr>
                <w:sz w:val="24"/>
              </w:rPr>
            </w:r>
          </w:p>
        </w:tc>
      </w:tr>
      <w:tr>
        <w:tc>
          <w:tcPr>
            <w:tcW w:w="4531" w:type="dxa"/>
            <w:tcBorders>
              <w:top w:val="nil"/>
              <w:left w:val="nil"/>
              <w:bottom w:val="nil"/>
              <w:right w:val="nil"/>
            </w:tcBorders>
          </w:tcPr>
          <w:p>
            <w:pPr>
              <w:pStyle w:val="0"/>
            </w:pPr>
            <w:r>
              <w:rPr>
                <w:sz w:val="24"/>
              </w:rPr>
            </w:r>
          </w:p>
        </w:tc>
        <w:tc>
          <w:tcPr>
            <w:gridSpan w:val="4"/>
            <w:tcW w:w="4535" w:type="dxa"/>
            <w:vAlign w:val="center"/>
            <w:tcBorders>
              <w:top w:val="nil"/>
              <w:left w:val="nil"/>
              <w:bottom w:val="nil"/>
              <w:right w:val="nil"/>
            </w:tcBorders>
          </w:tcPr>
          <w:p>
            <w:pPr>
              <w:pStyle w:val="0"/>
            </w:pPr>
            <w:r>
              <w:rPr>
                <w:sz w:val="24"/>
              </w:rPr>
              <w:t xml:space="preserve">"__" _______________________ 20__ г.</w:t>
            </w:r>
          </w:p>
        </w:tc>
      </w:tr>
      <w:tr>
        <w:tc>
          <w:tcPr>
            <w:tcW w:w="4531" w:type="dxa"/>
            <w:tcBorders>
              <w:top w:val="nil"/>
              <w:left w:val="nil"/>
              <w:bottom w:val="nil"/>
              <w:right w:val="nil"/>
            </w:tcBorders>
          </w:tcPr>
          <w:p>
            <w:pPr>
              <w:pStyle w:val="0"/>
            </w:pPr>
            <w:r>
              <w:rPr>
                <w:sz w:val="24"/>
              </w:rPr>
            </w:r>
          </w:p>
        </w:tc>
        <w:tc>
          <w:tcPr>
            <w:gridSpan w:val="4"/>
            <w:tcW w:w="4535" w:type="dxa"/>
            <w:vAlign w:val="bottom"/>
            <w:tcBorders>
              <w:top w:val="nil"/>
              <w:left w:val="nil"/>
              <w:bottom w:val="nil"/>
              <w:right w:val="nil"/>
            </w:tcBorders>
          </w:tcPr>
          <w:p>
            <w:pPr>
              <w:pStyle w:val="0"/>
              <w:jc w:val="right"/>
            </w:pPr>
            <w:r>
              <w:rPr>
                <w:sz w:val="24"/>
              </w:rPr>
              <w:t xml:space="preserve">М.П.</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66"/>
      </w:tblGrid>
      <w:tr>
        <w:tc>
          <w:tcPr>
            <w:tcW w:w="9066" w:type="dxa"/>
            <w:tcBorders>
              <w:top w:val="nil"/>
              <w:left w:val="nil"/>
              <w:bottom w:val="nil"/>
              <w:right w:val="nil"/>
            </w:tcBorders>
          </w:tcPr>
          <w:bookmarkStart w:id="316" w:name="P316"/>
          <w:bookmarkEnd w:id="316"/>
          <w:p>
            <w:pPr>
              <w:pStyle w:val="0"/>
              <w:jc w:val="center"/>
            </w:pPr>
            <w:r>
              <w:rPr>
                <w:sz w:val="24"/>
              </w:rPr>
              <w:t xml:space="preserve">РАЗРЕШЕНИЕ</w:t>
            </w:r>
          </w:p>
          <w:p>
            <w:pPr>
              <w:pStyle w:val="0"/>
              <w:jc w:val="center"/>
            </w:pPr>
            <w:r>
              <w:rPr>
                <w:sz w:val="24"/>
              </w:rPr>
              <w:t xml:space="preserve">на допуск в эксплуатацию </w:t>
            </w:r>
            <w:hyperlink w:history="0" w:anchor="P385" w:tooltip="&lt;1&gt; Подчеркивается вид разрешения.">
              <w:r>
                <w:rPr>
                  <w:sz w:val="24"/>
                  <w:color w:val="0000ff"/>
                </w:rPr>
                <w:t xml:space="preserve">&lt;1&gt;</w:t>
              </w:r>
            </w:hyperlink>
            <w:r>
              <w:rPr>
                <w:sz w:val="24"/>
              </w:rPr>
              <w:t xml:space="preserve"> энергопринимающей установки (объекта по производству электрической энергии, объекта электросетевого хозяйства, объекта теплоснабжения, теплопотребляющей установки) (временное разрешение) </w:t>
            </w:r>
            <w:hyperlink w:history="0" w:anchor="P385" w:tooltip="&lt;1&gt; Подчеркивается вид разрешения.">
              <w:r>
                <w:rPr>
                  <w:sz w:val="24"/>
                  <w:color w:val="0000ff"/>
                </w:rPr>
                <w:t xml:space="preserve">&lt;1&gt;</w:t>
              </w:r>
            </w:hyperlink>
          </w:p>
        </w:tc>
      </w:tr>
    </w:tbl>
    <w:p>
      <w:pPr>
        <w:pStyle w:val="0"/>
        <w:jc w:val="both"/>
      </w:pPr>
      <w:r>
        <w:rPr>
          <w:sz w:val="24"/>
        </w:rPr>
      </w:r>
    </w:p>
    <w:tbl>
      <w:tblPr>
        <w:tblInd w:w="0" w:type="dxa"/>
        <w:tblLayout w:type="fixed"/>
        <w:tblCellMar>
          <w:top w:w="102" w:type="dxa"/>
          <w:left w:w="62" w:type="dxa"/>
          <w:bottom w:w="102" w:type="dxa"/>
          <w:right w:w="62" w:type="dxa"/>
        </w:tblCellMar>
      </w:tblPr>
      <w:tblGrid>
        <w:gridCol w:w="9066"/>
      </w:tblGrid>
      <w:tr>
        <w:tc>
          <w:tcPr>
            <w:tcW w:w="9066" w:type="dxa"/>
            <w:tcBorders>
              <w:top w:val="nil"/>
              <w:left w:val="nil"/>
              <w:bottom w:val="nil"/>
              <w:right w:val="nil"/>
            </w:tcBorders>
          </w:tcPr>
          <w:p>
            <w:pPr>
              <w:pStyle w:val="0"/>
              <w:jc w:val="center"/>
            </w:pPr>
            <w:r>
              <w:rPr>
                <w:sz w:val="24"/>
              </w:rPr>
              <w:t xml:space="preserve">N ____________ от __ ______________ 20__ г.</w:t>
            </w:r>
          </w:p>
        </w:tc>
      </w:tr>
      <w:tr>
        <w:tc>
          <w:tcPr>
            <w:tcW w:w="9066" w:type="dxa"/>
            <w:tcBorders>
              <w:top w:val="nil"/>
              <w:left w:val="nil"/>
              <w:bottom w:val="single" w:sz="4"/>
              <w:right w:val="nil"/>
            </w:tcBorders>
          </w:tcPr>
          <w:p>
            <w:pPr>
              <w:pStyle w:val="0"/>
            </w:pPr>
            <w:r>
              <w:rPr>
                <w:sz w:val="24"/>
              </w:rPr>
            </w:r>
          </w:p>
        </w:tc>
      </w:tr>
      <w:tr>
        <w:tblPrEx>
          <w:tblBorders>
            <w:insideH w:val="single" w:sz="4"/>
          </w:tblBorders>
        </w:tblPrEx>
        <w:tc>
          <w:tcPr>
            <w:tcW w:w="9066" w:type="dxa"/>
            <w:tcBorders>
              <w:top w:val="single" w:sz="4"/>
              <w:left w:val="nil"/>
              <w:bottom w:val="nil"/>
              <w:right w:val="nil"/>
            </w:tcBorders>
          </w:tcPr>
          <w:p>
            <w:pPr>
              <w:pStyle w:val="0"/>
              <w:jc w:val="center"/>
            </w:pPr>
            <w:r>
              <w:rPr>
                <w:sz w:val="24"/>
              </w:rPr>
              <w:t xml:space="preserve">(наименование территориального органа федерального государственного энергетического надзора)</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31"/>
        <w:gridCol w:w="930"/>
        <w:gridCol w:w="969"/>
        <w:gridCol w:w="1814"/>
        <w:gridCol w:w="4082"/>
        <w:gridCol w:w="340"/>
      </w:tblGrid>
      <w:tr>
        <w:tblPrEx>
          <w:tblBorders>
            <w:insideH w:val="single" w:sz="4"/>
          </w:tblBorders>
        </w:tblPrEx>
        <w:tc>
          <w:tcPr>
            <w:tcW w:w="931" w:type="dxa"/>
            <w:tcBorders>
              <w:top w:val="nil"/>
              <w:left w:val="nil"/>
              <w:bottom w:val="single" w:sz="4"/>
              <w:right w:val="nil"/>
            </w:tcBorders>
          </w:tcPr>
          <w:p>
            <w:pPr>
              <w:pStyle w:val="0"/>
              <w:jc w:val="both"/>
            </w:pPr>
            <w:r>
              <w:rPr>
                <w:sz w:val="24"/>
              </w:rPr>
              <w:t xml:space="preserve">Мной,</w:t>
            </w:r>
          </w:p>
        </w:tc>
        <w:tc>
          <w:tcPr>
            <w:gridSpan w:val="5"/>
            <w:tcW w:w="8135" w:type="dxa"/>
            <w:tcBorders>
              <w:top w:val="nil"/>
              <w:left w:val="nil"/>
              <w:bottom w:val="single" w:sz="4"/>
              <w:right w:val="nil"/>
            </w:tcBorders>
          </w:tcPr>
          <w:p>
            <w:pPr>
              <w:pStyle w:val="0"/>
            </w:pPr>
            <w:r>
              <w:rPr>
                <w:sz w:val="24"/>
              </w:rPr>
            </w:r>
          </w:p>
        </w:tc>
      </w:tr>
      <w:tr>
        <w:tblPrEx>
          <w:tblBorders>
            <w:insideH w:val="single" w:sz="4"/>
          </w:tblBorders>
        </w:tblPrEx>
        <w:tc>
          <w:tcPr>
            <w:gridSpan w:val="5"/>
            <w:tcW w:w="8726" w:type="dxa"/>
            <w:tcBorders>
              <w:top w:val="single" w:sz="4"/>
              <w:left w:val="nil"/>
              <w:bottom w:val="single" w:sz="4"/>
              <w:right w:val="nil"/>
            </w:tcBorders>
          </w:tcPr>
          <w:p>
            <w:pPr>
              <w:pStyle w:val="0"/>
              <w:jc w:val="center"/>
            </w:pPr>
            <w:r>
              <w:rPr>
                <w:sz w:val="24"/>
              </w:rPr>
            </w:r>
          </w:p>
        </w:tc>
        <w:tc>
          <w:tcPr>
            <w:tcW w:w="340" w:type="dxa"/>
            <w:tcBorders>
              <w:top w:val="single" w:sz="4"/>
              <w:left w:val="nil"/>
              <w:bottom w:val="nil"/>
              <w:right w:val="nil"/>
            </w:tcBorders>
          </w:tcPr>
          <w:p>
            <w:pPr>
              <w:pStyle w:val="0"/>
              <w:jc w:val="both"/>
            </w:pPr>
            <w:r>
              <w:rPr>
                <w:sz w:val="24"/>
              </w:rPr>
              <w:t xml:space="preserve">,</w:t>
            </w:r>
          </w:p>
        </w:tc>
      </w:tr>
      <w:tr>
        <w:tc>
          <w:tcPr>
            <w:gridSpan w:val="6"/>
            <w:tcW w:w="9066" w:type="dxa"/>
            <w:tcBorders>
              <w:top w:val="nil"/>
              <w:left w:val="nil"/>
              <w:bottom w:val="nil"/>
              <w:right w:val="nil"/>
            </w:tcBorders>
          </w:tcPr>
          <w:p>
            <w:pPr>
              <w:pStyle w:val="0"/>
              <w:jc w:val="center"/>
            </w:pPr>
            <w:r>
              <w:rPr>
                <w:sz w:val="24"/>
              </w:rPr>
              <w:t xml:space="preserve">(должность, ф.и.о, номер телефона)</w:t>
            </w:r>
          </w:p>
        </w:tc>
      </w:tr>
      <w:tr>
        <w:tc>
          <w:tcPr>
            <w:gridSpan w:val="3"/>
            <w:tcW w:w="2830" w:type="dxa"/>
            <w:tcBorders>
              <w:top w:val="nil"/>
              <w:left w:val="nil"/>
              <w:bottom w:val="nil"/>
              <w:right w:val="nil"/>
            </w:tcBorders>
          </w:tcPr>
          <w:p>
            <w:pPr>
              <w:pStyle w:val="0"/>
              <w:jc w:val="both"/>
            </w:pPr>
            <w:r>
              <w:rPr>
                <w:sz w:val="24"/>
              </w:rPr>
              <w:t xml:space="preserve">на основании заявления</w:t>
            </w:r>
          </w:p>
        </w:tc>
        <w:tc>
          <w:tcPr>
            <w:gridSpan w:val="3"/>
            <w:tcW w:w="6236" w:type="dxa"/>
            <w:tcBorders>
              <w:top w:val="nil"/>
              <w:left w:val="nil"/>
              <w:bottom w:val="single" w:sz="4"/>
              <w:right w:val="nil"/>
            </w:tcBorders>
          </w:tcPr>
          <w:p>
            <w:pPr>
              <w:pStyle w:val="0"/>
              <w:jc w:val="center"/>
            </w:pPr>
            <w:r>
              <w:rPr>
                <w:sz w:val="24"/>
              </w:rPr>
            </w:r>
          </w:p>
        </w:tc>
      </w:tr>
      <w:tr>
        <w:tc>
          <w:tcPr>
            <w:gridSpan w:val="6"/>
            <w:tcW w:w="9066" w:type="dxa"/>
            <w:tcBorders>
              <w:top w:val="nil"/>
              <w:left w:val="nil"/>
              <w:bottom w:val="single" w:sz="4"/>
              <w:right w:val="nil"/>
            </w:tcBorders>
          </w:tcPr>
          <w:p>
            <w:pPr>
              <w:pStyle w:val="0"/>
            </w:pPr>
            <w:r>
              <w:rPr>
                <w:sz w:val="24"/>
              </w:rPr>
            </w:r>
          </w:p>
        </w:tc>
      </w:tr>
      <w:tr>
        <w:tblPrEx>
          <w:tblBorders>
            <w:insideH w:val="single" w:sz="4"/>
          </w:tblBorders>
        </w:tblPrEx>
        <w:tc>
          <w:tcPr>
            <w:gridSpan w:val="6"/>
            <w:tcW w:w="9066" w:type="dxa"/>
            <w:tcBorders>
              <w:top w:val="single" w:sz="4"/>
              <w:left w:val="nil"/>
              <w:bottom w:val="single" w:sz="4"/>
              <w:right w:val="nil"/>
            </w:tcBorders>
          </w:tcPr>
          <w:p>
            <w:pPr>
              <w:pStyle w:val="0"/>
              <w:jc w:val="center"/>
            </w:pPr>
            <w:r>
              <w:rPr>
                <w:sz w:val="24"/>
              </w:rPr>
              <w:t xml:space="preserve">(дата, номер регистрации в органе федерального государственного энергетического надзора)</w:t>
            </w:r>
          </w:p>
        </w:tc>
      </w:tr>
      <w:tr>
        <w:tblPrEx>
          <w:tblBorders>
            <w:insideH w:val="single" w:sz="4"/>
          </w:tblBorders>
        </w:tblPrEx>
        <w:tc>
          <w:tcPr>
            <w:gridSpan w:val="6"/>
            <w:tcW w:w="9066" w:type="dxa"/>
            <w:tcBorders>
              <w:top w:val="single" w:sz="4"/>
              <w:left w:val="nil"/>
              <w:bottom w:val="single" w:sz="4"/>
              <w:right w:val="nil"/>
            </w:tcBorders>
          </w:tcPr>
          <w:p>
            <w:pPr>
              <w:pStyle w:val="0"/>
            </w:pPr>
            <w:r>
              <w:rPr>
                <w:sz w:val="24"/>
              </w:rPr>
            </w:r>
          </w:p>
        </w:tc>
      </w:tr>
      <w:tr>
        <w:tc>
          <w:tcPr>
            <w:gridSpan w:val="6"/>
            <w:tcW w:w="9066" w:type="dxa"/>
            <w:tcBorders>
              <w:top w:val="single" w:sz="4"/>
              <w:left w:val="nil"/>
              <w:bottom w:val="nil"/>
              <w:right w:val="nil"/>
            </w:tcBorders>
          </w:tcPr>
          <w:p>
            <w:pPr>
              <w:pStyle w:val="0"/>
              <w:jc w:val="center"/>
            </w:pPr>
            <w:r>
              <w:rPr>
                <w:sz w:val="24"/>
              </w:rPr>
              <w:t xml:space="preserve">(сведения о заявителе: для юридического лица и индивидуального предпринимателя - полное наименование организации, место нахождения и адрес, номер телефона; для физического лица - ф.и.о., адрес, номер телефона)</w:t>
            </w:r>
          </w:p>
        </w:tc>
      </w:tr>
      <w:tr>
        <w:tc>
          <w:tcPr>
            <w:gridSpan w:val="6"/>
            <w:tcW w:w="9066" w:type="dxa"/>
            <w:tcBorders>
              <w:top w:val="nil"/>
              <w:left w:val="nil"/>
              <w:bottom w:val="nil"/>
              <w:right w:val="nil"/>
            </w:tcBorders>
          </w:tcPr>
          <w:p>
            <w:pPr>
              <w:pStyle w:val="0"/>
            </w:pPr>
            <w:r>
              <w:rPr>
                <w:sz w:val="24"/>
              </w:rPr>
              <w:t xml:space="preserve">и акта осмотра N _________ от __ ____________ 20__ г.</w:t>
            </w:r>
          </w:p>
        </w:tc>
      </w:tr>
      <w:tr>
        <w:tc>
          <w:tcPr>
            <w:gridSpan w:val="4"/>
            <w:tcW w:w="4644" w:type="dxa"/>
            <w:tcBorders>
              <w:top w:val="nil"/>
              <w:left w:val="nil"/>
              <w:bottom w:val="nil"/>
              <w:right w:val="nil"/>
            </w:tcBorders>
          </w:tcPr>
          <w:p>
            <w:pPr>
              <w:pStyle w:val="0"/>
            </w:pPr>
            <w:r>
              <w:rPr>
                <w:sz w:val="24"/>
              </w:rPr>
              <w:t xml:space="preserve">установлено, что объект заявителя </w:t>
            </w:r>
            <w:hyperlink w:history="0" w:anchor="P386" w:tooltip="&lt;2&gt; Указывается наименование допускаемого объекта, в том числе диспетчерское.">
              <w:r>
                <w:rPr>
                  <w:sz w:val="24"/>
                  <w:color w:val="0000ff"/>
                </w:rPr>
                <w:t xml:space="preserve">&lt;2&gt;</w:t>
              </w:r>
            </w:hyperlink>
          </w:p>
        </w:tc>
        <w:tc>
          <w:tcPr>
            <w:gridSpan w:val="2"/>
            <w:tcW w:w="4422" w:type="dxa"/>
            <w:tcBorders>
              <w:top w:val="nil"/>
              <w:left w:val="nil"/>
              <w:bottom w:val="single" w:sz="4"/>
              <w:right w:val="nil"/>
            </w:tcBorders>
          </w:tcPr>
          <w:p>
            <w:pPr>
              <w:pStyle w:val="0"/>
            </w:pPr>
            <w:r>
              <w:rPr>
                <w:sz w:val="24"/>
              </w:rPr>
            </w:r>
          </w:p>
        </w:tc>
      </w:tr>
      <w:tr>
        <w:tc>
          <w:tcPr>
            <w:gridSpan w:val="2"/>
            <w:tcW w:w="1861" w:type="dxa"/>
            <w:tcBorders>
              <w:top w:val="nil"/>
              <w:left w:val="nil"/>
              <w:bottom w:val="nil"/>
              <w:right w:val="nil"/>
            </w:tcBorders>
          </w:tcPr>
          <w:p>
            <w:pPr>
              <w:pStyle w:val="0"/>
            </w:pPr>
            <w:r>
              <w:rPr>
                <w:sz w:val="24"/>
              </w:rPr>
              <w:t xml:space="preserve">в составе </w:t>
            </w:r>
            <w:hyperlink w:history="0" w:anchor="P387" w:tooltip="&lt;3&gt; В соответствии с пунктом 1 акта осмотра, предусмотренного приложением N 4 к Правилам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 постановлением Правительства Российской Федерации от 30 января 2021 г. N 85 &quot;Об утверждении Правил выдачи разрешений на допуск в эксплуатацию энергопринимающих у...">
              <w:r>
                <w:rPr>
                  <w:sz w:val="24"/>
                  <w:color w:val="0000ff"/>
                </w:rPr>
                <w:t xml:space="preserve">&lt;3&gt;</w:t>
              </w:r>
            </w:hyperlink>
            <w:r>
              <w:rPr>
                <w:sz w:val="24"/>
              </w:rPr>
              <w:t xml:space="preserve">:</w:t>
            </w:r>
          </w:p>
        </w:tc>
        <w:tc>
          <w:tcPr>
            <w:gridSpan w:val="4"/>
            <w:tcW w:w="7205" w:type="dxa"/>
            <w:tcBorders>
              <w:top w:val="nil"/>
              <w:left w:val="nil"/>
              <w:bottom w:val="single" w:sz="4"/>
              <w:right w:val="nil"/>
            </w:tcBorders>
          </w:tcPr>
          <w:p>
            <w:pPr>
              <w:pStyle w:val="0"/>
            </w:pPr>
            <w:r>
              <w:rPr>
                <w:sz w:val="24"/>
              </w:rPr>
            </w:r>
          </w:p>
        </w:tc>
      </w:tr>
      <w:tr>
        <w:tc>
          <w:tcPr>
            <w:gridSpan w:val="2"/>
            <w:tcW w:w="1861" w:type="dxa"/>
            <w:tcBorders>
              <w:top w:val="nil"/>
              <w:left w:val="nil"/>
              <w:bottom w:val="nil"/>
              <w:right w:val="nil"/>
            </w:tcBorders>
          </w:tcPr>
          <w:p>
            <w:pPr>
              <w:pStyle w:val="0"/>
            </w:pPr>
            <w:r>
              <w:rPr>
                <w:sz w:val="24"/>
              </w:rPr>
            </w:r>
          </w:p>
        </w:tc>
        <w:tc>
          <w:tcPr>
            <w:gridSpan w:val="4"/>
            <w:tcW w:w="7205" w:type="dxa"/>
            <w:tcBorders>
              <w:top w:val="single" w:sz="4"/>
              <w:left w:val="nil"/>
              <w:bottom w:val="nil"/>
              <w:right w:val="nil"/>
            </w:tcBorders>
          </w:tcPr>
          <w:p>
            <w:pPr>
              <w:pStyle w:val="0"/>
              <w:jc w:val="center"/>
            </w:pPr>
            <w:r>
              <w:rPr>
                <w:sz w:val="24"/>
              </w:rPr>
              <w:t xml:space="preserve">(наименование допускаемого объекта, местонахождение)</w:t>
            </w:r>
          </w:p>
        </w:tc>
      </w:tr>
      <w:tr>
        <w:tc>
          <w:tcPr>
            <w:gridSpan w:val="6"/>
            <w:tcW w:w="9066" w:type="dxa"/>
            <w:tcBorders>
              <w:top w:val="nil"/>
              <w:left w:val="nil"/>
              <w:bottom w:val="single" w:sz="4"/>
              <w:right w:val="nil"/>
            </w:tcBorders>
          </w:tcPr>
          <w:p>
            <w:pPr>
              <w:pStyle w:val="0"/>
            </w:pPr>
            <w:r>
              <w:rPr>
                <w:sz w:val="24"/>
              </w:rPr>
            </w:r>
          </w:p>
        </w:tc>
      </w:tr>
      <w:tr>
        <w:tblPrEx>
          <w:tblBorders>
            <w:insideH w:val="single" w:sz="4"/>
          </w:tblBorders>
        </w:tblPrEx>
        <w:tc>
          <w:tcPr>
            <w:gridSpan w:val="6"/>
            <w:tcW w:w="9066" w:type="dxa"/>
            <w:tcBorders>
              <w:top w:val="single" w:sz="4"/>
              <w:left w:val="nil"/>
              <w:bottom w:val="nil"/>
              <w:right w:val="nil"/>
            </w:tcBorders>
          </w:tcPr>
          <w:p>
            <w:pPr>
              <w:pStyle w:val="0"/>
              <w:jc w:val="both"/>
            </w:pPr>
            <w:r>
              <w:rPr>
                <w:sz w:val="24"/>
              </w:rPr>
              <w:t xml:space="preserve">соответствует требованиям, установленным нормативными правовыми актами, предусмотренными </w:t>
            </w:r>
            <w:hyperlink w:history="0"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третьим, четвертым, шестым и седьмым пункта 2 статьи 28 Федерального закона &quot;Об электроэнергетике&quot;, и требованиям безопасности в сфере теплоснабжения, установленным в соответствии с пунктами 1 и 2 статьи 23.2 Федерального закона &quot;О теплоснабжении&quot;.">
              <w:r>
                <w:rPr>
                  <w:sz w:val="24"/>
                  <w:color w:val="0000ff"/>
                </w:rPr>
                <w:t xml:space="preserve">пунктом 24</w:t>
              </w:r>
            </w:hyperlink>
            <w:r>
              <w:rPr>
                <w:sz w:val="24"/>
              </w:rPr>
              <w:t xml:space="preserve">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утвержденных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 и допускается в эксплуатацию (к проведению испытаний и (или) работ) </w:t>
            </w:r>
            <w:hyperlink w:history="0" w:anchor="P388" w:tooltip="&lt;4&gt; В соответствии с видом разрешения.">
              <w:r>
                <w:rPr>
                  <w:sz w:val="24"/>
                  <w:color w:val="0000ff"/>
                </w:rPr>
                <w:t xml:space="preserve">&lt;4&gt;</w:t>
              </w:r>
            </w:hyperlink>
            <w:r>
              <w:rPr>
                <w:sz w:val="24"/>
              </w:rPr>
              <w:t xml:space="preserve">.</w:t>
            </w:r>
          </w:p>
          <w:p>
            <w:pPr>
              <w:pStyle w:val="0"/>
              <w:jc w:val="both"/>
            </w:pPr>
            <w:r>
              <w:rPr>
                <w:sz w:val="24"/>
              </w:rPr>
              <w:t xml:space="preserve">Срок действия временного разрешения: до "__" __________ 20__ г. </w:t>
            </w:r>
            <w:hyperlink w:history="0" w:anchor="P389" w:tooltip="&lt;5&gt; Заполняется в случае выдачи временного разрешения.">
              <w:r>
                <w:rPr>
                  <w:sz w:val="24"/>
                  <w:color w:val="0000ff"/>
                </w:rPr>
                <w:t xml:space="preserve">&lt;5&gt;</w:t>
              </w:r>
            </w:hyperlink>
          </w:p>
        </w:tc>
      </w:tr>
    </w:tbl>
    <w:p>
      <w:pPr>
        <w:pStyle w:val="0"/>
        <w:jc w:val="both"/>
      </w:pPr>
      <w:r>
        <w:rPr>
          <w:sz w:val="24"/>
        </w:rPr>
      </w:r>
    </w:p>
    <w:tbl>
      <w:tblPr>
        <w:tblInd w:w="0" w:type="dxa"/>
        <w:tblLayout w:type="fixed"/>
        <w:tblCellMar>
          <w:top w:w="102" w:type="dxa"/>
          <w:left w:w="62" w:type="dxa"/>
          <w:bottom w:w="102" w:type="dxa"/>
          <w:right w:w="62" w:type="dxa"/>
        </w:tblCellMar>
      </w:tblPr>
      <w:tblGrid>
        <w:gridCol w:w="3345"/>
        <w:gridCol w:w="340"/>
        <w:gridCol w:w="1891"/>
        <w:gridCol w:w="340"/>
        <w:gridCol w:w="2778"/>
        <w:gridCol w:w="340"/>
      </w:tblGrid>
      <w:tr>
        <w:tc>
          <w:tcPr>
            <w:tcW w:w="3345" w:type="dxa"/>
            <w:tcBorders>
              <w:top w:val="nil"/>
              <w:left w:val="nil"/>
              <w:bottom w:val="single" w:sz="4"/>
              <w:right w:val="nil"/>
            </w:tcBorders>
          </w:tcPr>
          <w:p>
            <w:pPr>
              <w:pStyle w:val="0"/>
            </w:pPr>
            <w:r>
              <w:rPr>
                <w:sz w:val="24"/>
              </w:rPr>
            </w:r>
          </w:p>
        </w:tc>
        <w:tc>
          <w:tcPr>
            <w:tcW w:w="340" w:type="dxa"/>
            <w:vAlign w:val="center"/>
            <w:tcBorders>
              <w:top w:val="nil"/>
              <w:left w:val="nil"/>
              <w:bottom w:val="nil"/>
              <w:right w:val="nil"/>
            </w:tcBorders>
          </w:tcPr>
          <w:p>
            <w:pPr>
              <w:pStyle w:val="0"/>
            </w:pPr>
            <w:r>
              <w:rPr>
                <w:sz w:val="24"/>
              </w:rPr>
              <w:t xml:space="preserve">/</w:t>
            </w:r>
          </w:p>
        </w:tc>
        <w:tc>
          <w:tcPr>
            <w:tcW w:w="1891" w:type="dxa"/>
            <w:tcBorders>
              <w:top w:val="nil"/>
              <w:left w:val="nil"/>
              <w:bottom w:val="single" w:sz="4"/>
              <w:right w:val="nil"/>
            </w:tcBorders>
          </w:tcPr>
          <w:p>
            <w:pPr>
              <w:pStyle w:val="0"/>
            </w:pPr>
            <w:r>
              <w:rPr>
                <w:sz w:val="24"/>
              </w:rPr>
            </w:r>
          </w:p>
        </w:tc>
        <w:tc>
          <w:tcPr>
            <w:tcW w:w="340" w:type="dxa"/>
            <w:vAlign w:val="center"/>
            <w:tcBorders>
              <w:top w:val="nil"/>
              <w:left w:val="nil"/>
              <w:bottom w:val="nil"/>
              <w:right w:val="nil"/>
            </w:tcBorders>
          </w:tcPr>
          <w:p>
            <w:pPr>
              <w:pStyle w:val="0"/>
            </w:pPr>
            <w:r>
              <w:rPr>
                <w:sz w:val="24"/>
              </w:rPr>
              <w:t xml:space="preserve">/</w:t>
            </w:r>
          </w:p>
        </w:tc>
        <w:tc>
          <w:tcPr>
            <w:tcW w:w="2778" w:type="dxa"/>
            <w:tcBorders>
              <w:top w:val="nil"/>
              <w:left w:val="nil"/>
              <w:bottom w:val="single" w:sz="4"/>
              <w:right w:val="nil"/>
            </w:tcBorders>
          </w:tcPr>
          <w:p>
            <w:pPr>
              <w:pStyle w:val="0"/>
            </w:pPr>
            <w:r>
              <w:rPr>
                <w:sz w:val="24"/>
              </w:rPr>
            </w:r>
          </w:p>
        </w:tc>
        <w:tc>
          <w:tcPr>
            <w:tcW w:w="340" w:type="dxa"/>
            <w:vAlign w:val="bottom"/>
            <w:tcBorders>
              <w:top w:val="nil"/>
              <w:left w:val="nil"/>
              <w:bottom w:val="nil"/>
              <w:right w:val="nil"/>
            </w:tcBorders>
          </w:tcPr>
          <w:p>
            <w:pPr>
              <w:pStyle w:val="0"/>
            </w:pPr>
            <w:r>
              <w:rPr>
                <w:sz w:val="24"/>
              </w:rPr>
              <w:t xml:space="preserve">/</w:t>
            </w:r>
          </w:p>
        </w:tc>
      </w:tr>
      <w:tr>
        <w:tc>
          <w:tcPr>
            <w:tcW w:w="3345" w:type="dxa"/>
            <w:tcBorders>
              <w:top w:val="single" w:sz="4"/>
              <w:left w:val="nil"/>
              <w:bottom w:val="nil"/>
              <w:right w:val="nil"/>
            </w:tcBorders>
          </w:tcPr>
          <w:p>
            <w:pPr>
              <w:pStyle w:val="0"/>
              <w:jc w:val="center"/>
            </w:pPr>
            <w:r>
              <w:rPr>
                <w:sz w:val="24"/>
              </w:rPr>
              <w:t xml:space="preserve">(должность)</w:t>
            </w:r>
          </w:p>
        </w:tc>
        <w:tc>
          <w:tcPr>
            <w:tcW w:w="340" w:type="dxa"/>
            <w:vAlign w:val="bottom"/>
            <w:tcBorders>
              <w:top w:val="nil"/>
              <w:left w:val="nil"/>
              <w:bottom w:val="nil"/>
              <w:right w:val="nil"/>
            </w:tcBorders>
          </w:tcPr>
          <w:p>
            <w:pPr>
              <w:pStyle w:val="0"/>
            </w:pPr>
            <w:r>
              <w:rPr>
                <w:sz w:val="24"/>
              </w:rPr>
            </w:r>
          </w:p>
        </w:tc>
        <w:tc>
          <w:tcPr>
            <w:tcW w:w="1891" w:type="dxa"/>
            <w:tcBorders>
              <w:top w:val="single" w:sz="4"/>
              <w:left w:val="nil"/>
              <w:bottom w:val="nil"/>
              <w:right w:val="nil"/>
            </w:tcBorders>
          </w:tcPr>
          <w:p>
            <w:pPr>
              <w:pStyle w:val="0"/>
              <w:jc w:val="center"/>
            </w:pPr>
            <w:r>
              <w:rPr>
                <w:sz w:val="24"/>
              </w:rPr>
              <w:t xml:space="preserve">(подпись)</w:t>
            </w:r>
          </w:p>
        </w:tc>
        <w:tc>
          <w:tcPr>
            <w:tcW w:w="340" w:type="dxa"/>
            <w:vAlign w:val="bottom"/>
            <w:tcBorders>
              <w:top w:val="nil"/>
              <w:left w:val="nil"/>
              <w:bottom w:val="nil"/>
              <w:right w:val="nil"/>
            </w:tcBorders>
          </w:tcPr>
          <w:p>
            <w:pPr>
              <w:pStyle w:val="0"/>
            </w:pPr>
            <w:r>
              <w:rPr>
                <w:sz w:val="24"/>
              </w:rPr>
            </w:r>
          </w:p>
        </w:tc>
        <w:tc>
          <w:tcPr>
            <w:tcW w:w="2778" w:type="dxa"/>
            <w:tcBorders>
              <w:top w:val="single" w:sz="4"/>
              <w:left w:val="nil"/>
              <w:bottom w:val="nil"/>
              <w:right w:val="nil"/>
            </w:tcBorders>
          </w:tcPr>
          <w:p>
            <w:pPr>
              <w:pStyle w:val="0"/>
              <w:jc w:val="center"/>
            </w:pPr>
            <w:r>
              <w:rPr>
                <w:sz w:val="24"/>
              </w:rPr>
              <w:t xml:space="preserve">(ф.и.о.)</w:t>
            </w:r>
          </w:p>
        </w:tc>
        <w:tc>
          <w:tcPr>
            <w:tcW w:w="340" w:type="dxa"/>
            <w:vAlign w:val="bottom"/>
            <w:tcBorders>
              <w:top w:val="nil"/>
              <w:left w:val="nil"/>
              <w:bottom w:val="nil"/>
              <w:right w:val="nil"/>
            </w:tcBorders>
          </w:tcPr>
          <w:p>
            <w:pPr>
              <w:pStyle w:val="0"/>
            </w:pPr>
            <w:r>
              <w:rPr>
                <w:sz w:val="24"/>
              </w:rPr>
            </w:r>
          </w:p>
        </w:tc>
      </w:tr>
      <w:tr>
        <w:tc>
          <w:tcPr>
            <w:tcW w:w="334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t xml:space="preserve">/</w:t>
            </w:r>
          </w:p>
        </w:tc>
        <w:tc>
          <w:tcPr>
            <w:tcW w:w="189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t xml:space="preserve">/</w:t>
            </w:r>
          </w:p>
        </w:tc>
        <w:tc>
          <w:tcPr>
            <w:tcW w:w="2778"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t xml:space="preserve">/</w:t>
            </w:r>
          </w:p>
        </w:tc>
      </w:tr>
      <w:tr>
        <w:tc>
          <w:tcPr>
            <w:tcW w:w="3345" w:type="dxa"/>
            <w:tcBorders>
              <w:top w:val="single" w:sz="4"/>
              <w:left w:val="nil"/>
              <w:bottom w:val="nil"/>
              <w:right w:val="nil"/>
            </w:tcBorders>
          </w:tcPr>
          <w:p>
            <w:pPr>
              <w:pStyle w:val="0"/>
              <w:jc w:val="center"/>
            </w:pPr>
            <w:r>
              <w:rPr>
                <w:sz w:val="24"/>
              </w:rPr>
              <w:t xml:space="preserve">(должность)</w:t>
            </w:r>
          </w:p>
        </w:tc>
        <w:tc>
          <w:tcPr>
            <w:tcW w:w="340" w:type="dxa"/>
            <w:vAlign w:val="bottom"/>
            <w:tcBorders>
              <w:top w:val="nil"/>
              <w:left w:val="nil"/>
              <w:bottom w:val="nil"/>
              <w:right w:val="nil"/>
            </w:tcBorders>
          </w:tcPr>
          <w:p>
            <w:pPr>
              <w:pStyle w:val="0"/>
            </w:pPr>
            <w:r>
              <w:rPr>
                <w:sz w:val="24"/>
              </w:rPr>
            </w:r>
          </w:p>
        </w:tc>
        <w:tc>
          <w:tcPr>
            <w:tcW w:w="1891" w:type="dxa"/>
            <w:tcBorders>
              <w:top w:val="single" w:sz="4"/>
              <w:left w:val="nil"/>
              <w:bottom w:val="nil"/>
              <w:right w:val="nil"/>
            </w:tcBorders>
          </w:tcPr>
          <w:p>
            <w:pPr>
              <w:pStyle w:val="0"/>
              <w:jc w:val="center"/>
            </w:pPr>
            <w:r>
              <w:rPr>
                <w:sz w:val="24"/>
              </w:rPr>
              <w:t xml:space="preserve">(подпись)</w:t>
            </w:r>
          </w:p>
        </w:tc>
        <w:tc>
          <w:tcPr>
            <w:tcW w:w="340" w:type="dxa"/>
            <w:vAlign w:val="bottom"/>
            <w:tcBorders>
              <w:top w:val="nil"/>
              <w:left w:val="nil"/>
              <w:bottom w:val="nil"/>
              <w:right w:val="nil"/>
            </w:tcBorders>
          </w:tcPr>
          <w:p>
            <w:pPr>
              <w:pStyle w:val="0"/>
            </w:pPr>
            <w:r>
              <w:rPr>
                <w:sz w:val="24"/>
              </w:rPr>
            </w:r>
          </w:p>
        </w:tc>
        <w:tc>
          <w:tcPr>
            <w:tcW w:w="2778" w:type="dxa"/>
            <w:tcBorders>
              <w:top w:val="single" w:sz="4"/>
              <w:left w:val="nil"/>
              <w:bottom w:val="nil"/>
              <w:right w:val="nil"/>
            </w:tcBorders>
          </w:tcPr>
          <w:p>
            <w:pPr>
              <w:pStyle w:val="0"/>
              <w:jc w:val="center"/>
            </w:pPr>
            <w:r>
              <w:rPr>
                <w:sz w:val="24"/>
              </w:rPr>
              <w:t xml:space="preserve">(ф.и.о.)</w:t>
            </w:r>
          </w:p>
        </w:tc>
        <w:tc>
          <w:tcPr>
            <w:tcW w:w="340" w:type="dxa"/>
            <w:vAlign w:val="bottom"/>
            <w:tcBorders>
              <w:top w:val="nil"/>
              <w:left w:val="nil"/>
              <w:bottom w:val="nil"/>
              <w:right w:val="nil"/>
            </w:tcBorders>
          </w:tcPr>
          <w:p>
            <w:pPr>
              <w:pStyle w:val="0"/>
            </w:pPr>
            <w:r>
              <w:rPr>
                <w:sz w:val="24"/>
              </w:rPr>
            </w:r>
          </w:p>
        </w:tc>
      </w:tr>
      <w:tr>
        <w:tc>
          <w:tcPr>
            <w:tcW w:w="334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t xml:space="preserve">/</w:t>
            </w:r>
          </w:p>
        </w:tc>
        <w:tc>
          <w:tcPr>
            <w:tcW w:w="189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t xml:space="preserve">/</w:t>
            </w:r>
          </w:p>
        </w:tc>
        <w:tc>
          <w:tcPr>
            <w:tcW w:w="2778"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t xml:space="preserve">/</w:t>
            </w:r>
          </w:p>
        </w:tc>
      </w:tr>
      <w:tr>
        <w:tc>
          <w:tcPr>
            <w:tcW w:w="3345" w:type="dxa"/>
            <w:vAlign w:val="bottom"/>
            <w:tcBorders>
              <w:top w:val="single" w:sz="4"/>
              <w:left w:val="nil"/>
              <w:bottom w:val="nil"/>
              <w:right w:val="nil"/>
            </w:tcBorders>
          </w:tcPr>
          <w:p>
            <w:pPr>
              <w:pStyle w:val="0"/>
              <w:jc w:val="center"/>
            </w:pPr>
            <w:r>
              <w:rPr>
                <w:sz w:val="24"/>
              </w:rPr>
              <w:t xml:space="preserve">(должность)</w:t>
            </w:r>
          </w:p>
        </w:tc>
        <w:tc>
          <w:tcPr>
            <w:tcW w:w="340" w:type="dxa"/>
            <w:tcBorders>
              <w:top w:val="nil"/>
              <w:left w:val="nil"/>
              <w:bottom w:val="nil"/>
              <w:right w:val="nil"/>
            </w:tcBorders>
          </w:tcPr>
          <w:p>
            <w:pPr>
              <w:pStyle w:val="0"/>
            </w:pPr>
            <w:r>
              <w:rPr>
                <w:sz w:val="24"/>
              </w:rPr>
            </w:r>
          </w:p>
        </w:tc>
        <w:tc>
          <w:tcPr>
            <w:tcW w:w="1891" w:type="dxa"/>
            <w:vAlign w:val="bottom"/>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778" w:type="dxa"/>
            <w:vAlign w:val="bottom"/>
            <w:tcBorders>
              <w:top w:val="single" w:sz="4"/>
              <w:left w:val="nil"/>
              <w:bottom w:val="nil"/>
              <w:right w:val="nil"/>
            </w:tcBorders>
          </w:tcPr>
          <w:p>
            <w:pPr>
              <w:pStyle w:val="0"/>
              <w:jc w:val="center"/>
            </w:pPr>
            <w:r>
              <w:rPr>
                <w:sz w:val="24"/>
              </w:rPr>
              <w:t xml:space="preserve">(ф.и.о.)</w:t>
            </w:r>
          </w:p>
        </w:tc>
        <w:tc>
          <w:tcPr>
            <w:tcW w:w="340" w:type="dxa"/>
            <w:tcBorders>
              <w:top w:val="nil"/>
              <w:left w:val="nil"/>
              <w:bottom w:val="nil"/>
              <w:right w:val="nil"/>
            </w:tcBorders>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14"/>
      </w:tblGrid>
      <w:tr>
        <w:tc>
          <w:tcPr>
            <w:tcW w:w="9014" w:type="dxa"/>
            <w:tcBorders>
              <w:top w:val="nil"/>
              <w:left w:val="nil"/>
              <w:bottom w:val="nil"/>
              <w:right w:val="nil"/>
            </w:tcBorders>
          </w:tcPr>
          <w:p>
            <w:pPr>
              <w:pStyle w:val="0"/>
              <w:ind w:firstLine="283"/>
              <w:jc w:val="both"/>
            </w:pPr>
            <w:r>
              <w:rPr>
                <w:sz w:val="24"/>
              </w:rPr>
              <w:t xml:space="preserve">Приложение: акт осмотра на ___ листах.</w:t>
            </w:r>
          </w:p>
        </w:tc>
      </w:tr>
    </w:tbl>
    <w:p>
      <w:pPr>
        <w:pStyle w:val="0"/>
        <w:jc w:val="both"/>
      </w:pPr>
      <w:r>
        <w:rPr>
          <w:sz w:val="24"/>
        </w:rPr>
      </w:r>
    </w:p>
    <w:p>
      <w:pPr>
        <w:pStyle w:val="0"/>
        <w:ind w:firstLine="540"/>
        <w:jc w:val="both"/>
      </w:pPr>
      <w:r>
        <w:rPr>
          <w:sz w:val="24"/>
        </w:rPr>
        <w:t xml:space="preserve">--------------------------------</w:t>
      </w:r>
    </w:p>
    <w:bookmarkStart w:id="385" w:name="P385"/>
    <w:bookmarkEnd w:id="385"/>
    <w:p>
      <w:pPr>
        <w:pStyle w:val="0"/>
        <w:spacing w:before="240" w:line-rule="auto"/>
        <w:ind w:firstLine="540"/>
        <w:jc w:val="both"/>
      </w:pPr>
      <w:r>
        <w:rPr>
          <w:sz w:val="24"/>
        </w:rPr>
        <w:t xml:space="preserve">&lt;1&gt; Подчеркивается вид разрешения.</w:t>
      </w:r>
    </w:p>
    <w:bookmarkStart w:id="386" w:name="P386"/>
    <w:bookmarkEnd w:id="386"/>
    <w:p>
      <w:pPr>
        <w:pStyle w:val="0"/>
        <w:spacing w:before="240" w:line-rule="auto"/>
        <w:ind w:firstLine="540"/>
        <w:jc w:val="both"/>
      </w:pPr>
      <w:r>
        <w:rPr>
          <w:sz w:val="24"/>
        </w:rPr>
        <w:t xml:space="preserve">&lt;2&gt; Указывается наименование допускаемого объекта, в том числе диспетчерское.</w:t>
      </w:r>
    </w:p>
    <w:bookmarkStart w:id="387" w:name="P387"/>
    <w:bookmarkEnd w:id="387"/>
    <w:p>
      <w:pPr>
        <w:pStyle w:val="0"/>
        <w:spacing w:before="240" w:line-rule="auto"/>
        <w:ind w:firstLine="540"/>
        <w:jc w:val="both"/>
      </w:pPr>
      <w:r>
        <w:rPr>
          <w:sz w:val="24"/>
        </w:rPr>
        <w:t xml:space="preserve">&lt;3&gt; В соответствии с </w:t>
      </w:r>
      <w:hyperlink w:history="0" w:anchor="P621" w:tooltip="1. К осмотру предъявлен допускаемый объект &lt;4&gt;">
        <w:r>
          <w:rPr>
            <w:sz w:val="24"/>
            <w:color w:val="0000ff"/>
          </w:rPr>
          <w:t xml:space="preserve">пунктом 1</w:t>
        </w:r>
      </w:hyperlink>
      <w:r>
        <w:rPr>
          <w:sz w:val="24"/>
        </w:rPr>
        <w:t xml:space="preserve"> акта осмотра, предусмотренного приложением N 4 к Правилам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w:t>
      </w:r>
    </w:p>
    <w:bookmarkStart w:id="388" w:name="P388"/>
    <w:bookmarkEnd w:id="388"/>
    <w:p>
      <w:pPr>
        <w:pStyle w:val="0"/>
        <w:spacing w:before="240" w:line-rule="auto"/>
        <w:ind w:firstLine="540"/>
        <w:jc w:val="both"/>
      </w:pPr>
      <w:r>
        <w:rPr>
          <w:sz w:val="24"/>
        </w:rPr>
        <w:t xml:space="preserve">&lt;4&gt; В соответствии с видом разрешения.</w:t>
      </w:r>
    </w:p>
    <w:bookmarkStart w:id="389" w:name="P389"/>
    <w:bookmarkEnd w:id="389"/>
    <w:p>
      <w:pPr>
        <w:pStyle w:val="0"/>
        <w:spacing w:before="240" w:line-rule="auto"/>
        <w:ind w:firstLine="540"/>
        <w:jc w:val="both"/>
      </w:pPr>
      <w:r>
        <w:rPr>
          <w:sz w:val="24"/>
        </w:rPr>
        <w:t xml:space="preserve">&lt;5&gt; Заполняется в случае выдачи временного разрешения.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2</w:t>
      </w:r>
    </w:p>
    <w:p>
      <w:pPr>
        <w:pStyle w:val="0"/>
        <w:jc w:val="right"/>
      </w:pPr>
      <w:r>
        <w:rPr>
          <w:sz w:val="24"/>
        </w:rPr>
        <w:t xml:space="preserve">к Правилам выдачи разрешений</w:t>
      </w:r>
    </w:p>
    <w:p>
      <w:pPr>
        <w:pStyle w:val="0"/>
        <w:jc w:val="right"/>
      </w:pPr>
      <w:r>
        <w:rPr>
          <w:sz w:val="24"/>
        </w:rPr>
        <w:t xml:space="preserve">на допуск в эксплуатацию</w:t>
      </w:r>
    </w:p>
    <w:p>
      <w:pPr>
        <w:pStyle w:val="0"/>
        <w:jc w:val="right"/>
      </w:pPr>
      <w:r>
        <w:rPr>
          <w:sz w:val="24"/>
        </w:rPr>
        <w:t xml:space="preserve">энергопринимающих установок</w:t>
      </w:r>
    </w:p>
    <w:p>
      <w:pPr>
        <w:pStyle w:val="0"/>
        <w:jc w:val="right"/>
      </w:pPr>
      <w:r>
        <w:rPr>
          <w:sz w:val="24"/>
        </w:rPr>
        <w:t xml:space="preserve">потребителей электрической энергии,</w:t>
      </w:r>
    </w:p>
    <w:p>
      <w:pPr>
        <w:pStyle w:val="0"/>
        <w:jc w:val="right"/>
      </w:pPr>
      <w:r>
        <w:rPr>
          <w:sz w:val="24"/>
        </w:rPr>
        <w:t xml:space="preserve">объектов по производству электрической</w:t>
      </w:r>
    </w:p>
    <w:p>
      <w:pPr>
        <w:pStyle w:val="0"/>
        <w:jc w:val="right"/>
      </w:pPr>
      <w:r>
        <w:rPr>
          <w:sz w:val="24"/>
        </w:rPr>
        <w:t xml:space="preserve">энергии, объектов электросетевого</w:t>
      </w:r>
    </w:p>
    <w:p>
      <w:pPr>
        <w:pStyle w:val="0"/>
        <w:jc w:val="right"/>
      </w:pPr>
      <w:r>
        <w:rPr>
          <w:sz w:val="24"/>
        </w:rPr>
        <w:t xml:space="preserve">хозяйства, объектов теплоснабжения</w:t>
      </w:r>
    </w:p>
    <w:p>
      <w:pPr>
        <w:pStyle w:val="0"/>
        <w:jc w:val="right"/>
      </w:pPr>
      <w:r>
        <w:rPr>
          <w:sz w:val="24"/>
        </w:rPr>
        <w:t xml:space="preserve">и теплопотребляющих установок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85"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color w:val="392c69"/>
              </w:rPr>
              <w:t xml:space="preserve"> Правительства РФ от 04.12.2024 N 1711)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jc w:val="right"/>
      </w:pPr>
      <w:r>
        <w:rPr>
          <w:sz w:val="24"/>
        </w:rPr>
        <w:t xml:space="preserve">(форма)</w:t>
      </w:r>
    </w:p>
    <w:p>
      <w:pPr>
        <w:pStyle w:val="0"/>
        <w:jc w:val="both"/>
      </w:pPr>
      <w:r>
        <w:rPr>
          <w:sz w:val="24"/>
        </w:rPr>
      </w:r>
    </w:p>
    <w:tbl>
      <w:tblPr>
        <w:tblInd w:w="0" w:type="dxa"/>
        <w:tblLayout w:type="fixed"/>
        <w:tblCellMar>
          <w:top w:w="102" w:type="dxa"/>
          <w:left w:w="62" w:type="dxa"/>
          <w:bottom w:w="102" w:type="dxa"/>
          <w:right w:w="62" w:type="dxa"/>
        </w:tblCellMar>
      </w:tblPr>
      <w:tblGrid>
        <w:gridCol w:w="850"/>
        <w:gridCol w:w="7370"/>
        <w:gridCol w:w="850"/>
      </w:tblGrid>
      <w:tr>
        <w:tc>
          <w:tcPr>
            <w:tcW w:w="850" w:type="dxa"/>
            <w:vAlign w:val="bottom"/>
            <w:tcBorders>
              <w:top w:val="nil"/>
              <w:left w:val="nil"/>
              <w:bottom w:val="nil"/>
              <w:right w:val="nil"/>
            </w:tcBorders>
          </w:tcPr>
          <w:p>
            <w:pPr>
              <w:pStyle w:val="0"/>
              <w:jc w:val="right"/>
            </w:pPr>
            <w:r>
              <w:rPr>
                <w:sz w:val="24"/>
              </w:rPr>
              <w:t xml:space="preserve">В</w:t>
            </w:r>
          </w:p>
        </w:tc>
        <w:tc>
          <w:tcPr>
            <w:tcW w:w="7370" w:type="dxa"/>
            <w:tcBorders>
              <w:top w:val="nil"/>
              <w:left w:val="nil"/>
              <w:bottom w:val="single" w:sz="4"/>
              <w:right w:val="nil"/>
            </w:tcBorders>
          </w:tcPr>
          <w:p>
            <w:pPr>
              <w:pStyle w:val="0"/>
            </w:pPr>
            <w:r>
              <w:rPr>
                <w:sz w:val="24"/>
              </w:rPr>
            </w:r>
          </w:p>
        </w:tc>
        <w:tc>
          <w:tcPr>
            <w:tcW w:w="850" w:type="dxa"/>
            <w:tcBorders>
              <w:top w:val="nil"/>
              <w:left w:val="nil"/>
              <w:bottom w:val="nil"/>
              <w:right w:val="nil"/>
            </w:tcBorders>
          </w:tcPr>
          <w:p>
            <w:pPr>
              <w:pStyle w:val="0"/>
            </w:pPr>
            <w:r>
              <w:rPr>
                <w:sz w:val="24"/>
              </w:rPr>
            </w:r>
          </w:p>
        </w:tc>
      </w:tr>
      <w:tr>
        <w:tc>
          <w:tcPr>
            <w:tcW w:w="850" w:type="dxa"/>
            <w:tcBorders>
              <w:top w:val="nil"/>
              <w:left w:val="nil"/>
              <w:bottom w:val="nil"/>
              <w:right w:val="nil"/>
            </w:tcBorders>
          </w:tcPr>
          <w:p>
            <w:pPr>
              <w:pStyle w:val="0"/>
            </w:pPr>
            <w:r>
              <w:rPr>
                <w:sz w:val="24"/>
              </w:rPr>
            </w:r>
          </w:p>
        </w:tc>
        <w:tc>
          <w:tcPr>
            <w:tcW w:w="7370" w:type="dxa"/>
            <w:tcBorders>
              <w:top w:val="single" w:sz="4"/>
              <w:left w:val="nil"/>
              <w:bottom w:val="nil"/>
              <w:right w:val="nil"/>
            </w:tcBorders>
          </w:tcPr>
          <w:p>
            <w:pPr>
              <w:pStyle w:val="0"/>
              <w:jc w:val="center"/>
            </w:pPr>
            <w:r>
              <w:rPr>
                <w:sz w:val="24"/>
              </w:rPr>
              <w:t xml:space="preserve">(указывается наименование территориального органа федерального органа исполнительной власти, уполномоченного на осуществление федерального государственного энергетического надзора)</w:t>
            </w:r>
          </w:p>
        </w:tc>
        <w:tc>
          <w:tcPr>
            <w:tcW w:w="850" w:type="dxa"/>
            <w:tcBorders>
              <w:top w:val="nil"/>
              <w:left w:val="nil"/>
              <w:bottom w:val="nil"/>
              <w:right w:val="nil"/>
            </w:tcBorders>
          </w:tcPr>
          <w:p>
            <w:pPr>
              <w:pStyle w:val="0"/>
            </w:pPr>
            <w:r>
              <w:rPr>
                <w:sz w:val="24"/>
              </w:rPr>
            </w:r>
          </w:p>
        </w:tc>
      </w:tr>
    </w:tbl>
    <w:p>
      <w:pPr>
        <w:pStyle w:val="0"/>
        <w:jc w:val="both"/>
      </w:pPr>
      <w:r>
        <w:rPr>
          <w:sz w:val="24"/>
        </w:rPr>
      </w:r>
    </w:p>
    <w:tbl>
      <w:tblPr>
        <w:tblInd w:w="0" w:type="dxa"/>
        <w:tblLayout w:type="fixed"/>
        <w:tblBorders>
          <w:bottom w:val="single" w:sz="4"/>
        </w:tblBorders>
        <w:tblCellMar>
          <w:top w:w="102" w:type="dxa"/>
          <w:left w:w="62" w:type="dxa"/>
          <w:bottom w:w="102" w:type="dxa"/>
          <w:right w:w="62" w:type="dxa"/>
        </w:tblCellMar>
      </w:tblPr>
      <w:tblGrid>
        <w:gridCol w:w="1191"/>
        <w:gridCol w:w="529"/>
        <w:gridCol w:w="794"/>
        <w:gridCol w:w="340"/>
        <w:gridCol w:w="340"/>
        <w:gridCol w:w="3005"/>
        <w:gridCol w:w="2835"/>
      </w:tblGrid>
      <w:tr>
        <w:tc>
          <w:tcPr>
            <w:gridSpan w:val="7"/>
            <w:tcW w:w="9034" w:type="dxa"/>
            <w:tcBorders>
              <w:top w:val="nil"/>
              <w:left w:val="nil"/>
              <w:bottom w:val="nil"/>
              <w:right w:val="nil"/>
            </w:tcBorders>
          </w:tcPr>
          <w:bookmarkStart w:id="416" w:name="P416"/>
          <w:bookmarkEnd w:id="416"/>
          <w:p>
            <w:pPr>
              <w:pStyle w:val="0"/>
              <w:jc w:val="center"/>
            </w:pPr>
            <w:r>
              <w:rPr>
                <w:sz w:val="24"/>
              </w:rPr>
              <w:t xml:space="preserve">ЗАЯВЛЕНИЕ </w:t>
            </w:r>
            <w:hyperlink w:history="0" w:anchor="P468" w:tooltip="&lt;1&gt; Все поля в заявлении являются обязательными для заполнения.">
              <w:r>
                <w:rPr>
                  <w:sz w:val="24"/>
                  <w:color w:val="0000ff"/>
                </w:rPr>
                <w:t xml:space="preserve">&lt;1&gt;</w:t>
              </w:r>
            </w:hyperlink>
          </w:p>
          <w:p>
            <w:pPr>
              <w:pStyle w:val="0"/>
              <w:jc w:val="center"/>
            </w:pPr>
            <w:r>
              <w:rPr>
                <w:sz w:val="24"/>
              </w:rPr>
              <w:t xml:space="preserve">о проведении осмотра и выдаче разрешения на допуск в эксплуатацию (временного разрешения) </w:t>
            </w:r>
            <w:hyperlink w:history="0" w:anchor="P469" w:tooltip="&lt;2&gt; Подчеркивается вид требуемого разрешения.">
              <w:r>
                <w:rPr>
                  <w:sz w:val="24"/>
                  <w:color w:val="0000ff"/>
                </w:rPr>
                <w:t xml:space="preserve">&lt;2&gt;</w:t>
              </w:r>
            </w:hyperlink>
            <w:r>
              <w:rPr>
                <w:sz w:val="24"/>
              </w:rPr>
              <w:t xml:space="preserve"> энергопринимающей установки (объекта по производству электрической энергии, объекта электросетевого хозяйства, объекта теплоснабжения, теплопотребляющей установки) </w:t>
            </w:r>
            <w:hyperlink w:history="0" w:anchor="P470" w:tooltip="&lt;3&gt; Подчеркивается вид объекта, допускаемого в эксплуатацию.">
              <w:r>
                <w:rPr>
                  <w:sz w:val="24"/>
                  <w:color w:val="0000ff"/>
                </w:rPr>
                <w:t xml:space="preserve">&lt;3&gt;</w:t>
              </w:r>
            </w:hyperlink>
          </w:p>
        </w:tc>
      </w:tr>
      <w:tr>
        <w:tc>
          <w:tcPr>
            <w:gridSpan w:val="7"/>
            <w:tcW w:w="9034" w:type="dxa"/>
            <w:tcBorders>
              <w:top w:val="nil"/>
              <w:left w:val="nil"/>
              <w:bottom w:val="single" w:sz="4"/>
              <w:right w:val="nil"/>
            </w:tcBorders>
          </w:tcPr>
          <w:p>
            <w:pPr>
              <w:pStyle w:val="0"/>
            </w:pPr>
            <w:r>
              <w:rPr>
                <w:sz w:val="24"/>
              </w:rPr>
            </w:r>
          </w:p>
        </w:tc>
      </w:tr>
      <w:tr>
        <w:tc>
          <w:tcPr>
            <w:gridSpan w:val="7"/>
            <w:tcW w:w="9034" w:type="dxa"/>
            <w:tcBorders>
              <w:top w:val="single" w:sz="4"/>
              <w:left w:val="nil"/>
              <w:bottom w:val="nil"/>
              <w:right w:val="nil"/>
            </w:tcBorders>
          </w:tcPr>
          <w:p>
            <w:pPr>
              <w:pStyle w:val="0"/>
              <w:jc w:val="center"/>
            </w:pPr>
            <w:r>
              <w:rPr>
                <w:sz w:val="24"/>
              </w:rPr>
              <w:t xml:space="preserve">(наименование заявителя, место нахождения и адрес, ИНН) </w:t>
            </w:r>
            <w:hyperlink w:history="0" w:anchor="P471" w:tooltip="&lt;4&gt; Для юридических лиц указываются должность, фамилия, имя и отчество (при наличии) руководителя, для индивидуальных предпринимателей - фамилия, имя и отчество (при наличии) индивидуального предпринимателя.">
              <w:r>
                <w:rPr>
                  <w:sz w:val="24"/>
                  <w:color w:val="0000ff"/>
                </w:rPr>
                <w:t xml:space="preserve">&lt;4&gt;</w:t>
              </w:r>
            </w:hyperlink>
          </w:p>
        </w:tc>
      </w:tr>
      <w:tr>
        <w:tc>
          <w:tcPr>
            <w:tcW w:w="1191" w:type="dxa"/>
            <w:vAlign w:val="bottom"/>
            <w:tcBorders>
              <w:top w:val="nil"/>
              <w:left w:val="nil"/>
              <w:bottom w:val="nil"/>
              <w:right w:val="nil"/>
            </w:tcBorders>
          </w:tcPr>
          <w:p>
            <w:pPr>
              <w:pStyle w:val="0"/>
            </w:pPr>
            <w:r>
              <w:rPr>
                <w:sz w:val="24"/>
              </w:rPr>
              <w:t xml:space="preserve">Телефон</w:t>
            </w:r>
          </w:p>
        </w:tc>
        <w:tc>
          <w:tcPr>
            <w:gridSpan w:val="4"/>
            <w:tcW w:w="2003" w:type="dxa"/>
            <w:vAlign w:val="bottom"/>
            <w:tcBorders>
              <w:top w:val="nil"/>
              <w:left w:val="nil"/>
              <w:bottom w:val="single" w:sz="4"/>
              <w:right w:val="nil"/>
            </w:tcBorders>
          </w:tcPr>
          <w:p>
            <w:pPr>
              <w:pStyle w:val="0"/>
            </w:pPr>
            <w:r>
              <w:rPr>
                <w:sz w:val="24"/>
              </w:rPr>
            </w:r>
          </w:p>
        </w:tc>
        <w:tc>
          <w:tcPr>
            <w:tcW w:w="3005" w:type="dxa"/>
            <w:vAlign w:val="bottom"/>
            <w:tcBorders>
              <w:top w:val="nil"/>
              <w:left w:val="nil"/>
              <w:bottom w:val="nil"/>
              <w:right w:val="nil"/>
            </w:tcBorders>
          </w:tcPr>
          <w:p>
            <w:pPr>
              <w:pStyle w:val="0"/>
              <w:jc w:val="center"/>
            </w:pPr>
            <w:r>
              <w:rPr>
                <w:sz w:val="24"/>
              </w:rPr>
              <w:t xml:space="preserve">адрес электронной почты</w:t>
            </w:r>
          </w:p>
        </w:tc>
        <w:tc>
          <w:tcPr>
            <w:tcW w:w="2835" w:type="dxa"/>
            <w:tcBorders>
              <w:top w:val="nil"/>
              <w:left w:val="nil"/>
              <w:bottom w:val="single" w:sz="4"/>
              <w:right w:val="nil"/>
            </w:tcBorders>
          </w:tcPr>
          <w:p>
            <w:pPr>
              <w:pStyle w:val="0"/>
            </w:pPr>
            <w:r>
              <w:rPr>
                <w:sz w:val="24"/>
              </w:rPr>
            </w:r>
          </w:p>
        </w:tc>
      </w:tr>
      <w:tr>
        <w:tc>
          <w:tcPr>
            <w:gridSpan w:val="2"/>
            <w:tcW w:w="1720" w:type="dxa"/>
            <w:vAlign w:val="bottom"/>
            <w:tcBorders>
              <w:top w:val="nil"/>
              <w:left w:val="nil"/>
              <w:bottom w:val="nil"/>
              <w:right w:val="nil"/>
            </w:tcBorders>
          </w:tcPr>
          <w:p>
            <w:pPr>
              <w:pStyle w:val="0"/>
            </w:pPr>
            <w:r>
              <w:rPr>
                <w:sz w:val="24"/>
              </w:rPr>
              <w:t xml:space="preserve">В лице </w:t>
            </w:r>
            <w:hyperlink w:history="0" w:anchor="P471" w:tooltip="&lt;4&gt; Для юридических лиц указываются должность, фамилия, имя и отчество (при наличии) руководителя, для индивидуальных предпринимателей - фамилия, имя и отчество (при наличии) индивидуального предпринимателя.">
              <w:r>
                <w:rPr>
                  <w:sz w:val="24"/>
                  <w:color w:val="0000ff"/>
                </w:rPr>
                <w:t xml:space="preserve">&lt;4&gt;</w:t>
              </w:r>
            </w:hyperlink>
          </w:p>
        </w:tc>
        <w:tc>
          <w:tcPr>
            <w:gridSpan w:val="5"/>
            <w:tcW w:w="7314" w:type="dxa"/>
            <w:vAlign w:val="bottom"/>
            <w:tcBorders>
              <w:top w:val="nil"/>
              <w:left w:val="nil"/>
              <w:bottom w:val="single" w:sz="4"/>
              <w:right w:val="nil"/>
            </w:tcBorders>
          </w:tcPr>
          <w:p>
            <w:pPr>
              <w:pStyle w:val="0"/>
            </w:pPr>
            <w:r>
              <w:rPr>
                <w:sz w:val="24"/>
              </w:rPr>
            </w:r>
          </w:p>
        </w:tc>
      </w:tr>
      <w:tr>
        <w:tc>
          <w:tcPr>
            <w:gridSpan w:val="7"/>
            <w:tcW w:w="9034" w:type="dxa"/>
            <w:tcBorders>
              <w:top w:val="nil"/>
              <w:left w:val="nil"/>
              <w:bottom w:val="single" w:sz="4"/>
              <w:right w:val="nil"/>
            </w:tcBorders>
          </w:tcPr>
          <w:p>
            <w:pPr>
              <w:pStyle w:val="0"/>
            </w:pPr>
            <w:r>
              <w:rPr>
                <w:sz w:val="24"/>
              </w:rPr>
            </w:r>
          </w:p>
        </w:tc>
      </w:tr>
      <w:tr>
        <w:tc>
          <w:tcPr>
            <w:gridSpan w:val="7"/>
            <w:tcW w:w="9034" w:type="dxa"/>
            <w:tcBorders>
              <w:top w:val="single" w:sz="4"/>
              <w:left w:val="nil"/>
              <w:bottom w:val="nil"/>
              <w:right w:val="nil"/>
            </w:tcBorders>
          </w:tcPr>
          <w:p>
            <w:pPr>
              <w:pStyle w:val="0"/>
              <w:jc w:val="center"/>
            </w:pPr>
            <w:r>
              <w:rPr>
                <w:sz w:val="24"/>
              </w:rPr>
              <w:t xml:space="preserve">(ф.и.о.)</w:t>
            </w:r>
          </w:p>
        </w:tc>
      </w:tr>
      <w:tr>
        <w:tc>
          <w:tcPr>
            <w:gridSpan w:val="3"/>
            <w:tcW w:w="2514" w:type="dxa"/>
            <w:vAlign w:val="bottom"/>
            <w:tcBorders>
              <w:top w:val="nil"/>
              <w:left w:val="nil"/>
              <w:bottom w:val="nil"/>
              <w:right w:val="nil"/>
            </w:tcBorders>
          </w:tcPr>
          <w:p>
            <w:pPr>
              <w:pStyle w:val="0"/>
            </w:pPr>
            <w:r>
              <w:rPr>
                <w:sz w:val="24"/>
              </w:rPr>
              <w:t xml:space="preserve">для физического лица</w:t>
            </w:r>
          </w:p>
        </w:tc>
        <w:tc>
          <w:tcPr>
            <w:gridSpan w:val="4"/>
            <w:tcW w:w="6520" w:type="dxa"/>
            <w:tcBorders>
              <w:top w:val="nil"/>
              <w:left w:val="nil"/>
              <w:bottom w:val="single" w:sz="4"/>
              <w:right w:val="nil"/>
            </w:tcBorders>
          </w:tcPr>
          <w:p>
            <w:pPr>
              <w:pStyle w:val="0"/>
            </w:pPr>
            <w:r>
              <w:rPr>
                <w:sz w:val="24"/>
              </w:rPr>
            </w:r>
          </w:p>
        </w:tc>
      </w:tr>
      <w:tr>
        <w:tc>
          <w:tcPr>
            <w:gridSpan w:val="3"/>
            <w:tcW w:w="2514" w:type="dxa"/>
            <w:tcBorders>
              <w:top w:val="nil"/>
              <w:left w:val="nil"/>
              <w:bottom w:val="nil"/>
              <w:right w:val="nil"/>
            </w:tcBorders>
          </w:tcPr>
          <w:p>
            <w:pPr>
              <w:pStyle w:val="0"/>
            </w:pPr>
            <w:r>
              <w:rPr>
                <w:sz w:val="24"/>
              </w:rPr>
            </w:r>
          </w:p>
        </w:tc>
        <w:tc>
          <w:tcPr>
            <w:gridSpan w:val="4"/>
            <w:tcW w:w="6520" w:type="dxa"/>
            <w:tcBorders>
              <w:top w:val="single" w:sz="4"/>
              <w:left w:val="nil"/>
              <w:bottom w:val="nil"/>
              <w:right w:val="nil"/>
            </w:tcBorders>
          </w:tcPr>
          <w:p>
            <w:pPr>
              <w:pStyle w:val="0"/>
              <w:jc w:val="center"/>
            </w:pPr>
            <w:r>
              <w:rPr>
                <w:sz w:val="24"/>
              </w:rPr>
              <w:t xml:space="preserve">(ф.и.о.)</w:t>
            </w:r>
          </w:p>
        </w:tc>
      </w:tr>
      <w:tr>
        <w:tc>
          <w:tcPr>
            <w:gridSpan w:val="7"/>
            <w:tcW w:w="9034" w:type="dxa"/>
            <w:tcBorders>
              <w:top w:val="nil"/>
              <w:left w:val="nil"/>
              <w:bottom w:val="single" w:sz="4"/>
              <w:right w:val="nil"/>
            </w:tcBorders>
          </w:tcPr>
          <w:p>
            <w:pPr>
              <w:pStyle w:val="0"/>
            </w:pPr>
            <w:r>
              <w:rPr>
                <w:sz w:val="24"/>
              </w:rPr>
            </w:r>
          </w:p>
        </w:tc>
      </w:tr>
      <w:tr>
        <w:tc>
          <w:tcPr>
            <w:gridSpan w:val="7"/>
            <w:tcW w:w="9034" w:type="dxa"/>
            <w:tcBorders>
              <w:top w:val="single" w:sz="4"/>
              <w:left w:val="nil"/>
              <w:bottom w:val="nil"/>
              <w:right w:val="nil"/>
            </w:tcBorders>
          </w:tcPr>
          <w:p>
            <w:pPr>
              <w:pStyle w:val="0"/>
              <w:jc w:val="center"/>
            </w:pPr>
            <w:r>
              <w:rPr>
                <w:sz w:val="24"/>
              </w:rPr>
              <w:t xml:space="preserve">(почтовый индекс, адрес и номер телефона)</w:t>
            </w:r>
          </w:p>
        </w:tc>
      </w:tr>
      <w:tr>
        <w:tc>
          <w:tcPr>
            <w:gridSpan w:val="7"/>
            <w:tcW w:w="9034" w:type="dxa"/>
            <w:tcBorders>
              <w:top w:val="nil"/>
              <w:left w:val="nil"/>
              <w:bottom w:val="single" w:sz="4"/>
              <w:right w:val="nil"/>
            </w:tcBorders>
          </w:tcPr>
          <w:p>
            <w:pPr>
              <w:pStyle w:val="0"/>
            </w:pPr>
            <w:r>
              <w:rPr>
                <w:sz w:val="24"/>
              </w:rPr>
            </w:r>
          </w:p>
        </w:tc>
      </w:tr>
      <w:tr>
        <w:tc>
          <w:tcPr>
            <w:gridSpan w:val="7"/>
            <w:tcW w:w="9034" w:type="dxa"/>
            <w:tcBorders>
              <w:top w:val="single" w:sz="4"/>
              <w:left w:val="nil"/>
              <w:bottom w:val="nil"/>
              <w:right w:val="nil"/>
            </w:tcBorders>
          </w:tcPr>
          <w:p>
            <w:pPr>
              <w:pStyle w:val="0"/>
              <w:jc w:val="center"/>
            </w:pPr>
            <w:r>
              <w:rPr>
                <w:sz w:val="24"/>
              </w:rPr>
              <w:t xml:space="preserve">(реквизиты нотариально удостоверенной доверенности)</w:t>
            </w:r>
          </w:p>
        </w:tc>
      </w:tr>
      <w:tr>
        <w:tc>
          <w:tcPr>
            <w:gridSpan w:val="5"/>
            <w:tcW w:w="3194" w:type="dxa"/>
            <w:vAlign w:val="bottom"/>
            <w:tcBorders>
              <w:top w:val="nil"/>
              <w:left w:val="nil"/>
              <w:bottom w:val="nil"/>
              <w:right w:val="nil"/>
            </w:tcBorders>
          </w:tcPr>
          <w:p>
            <w:pPr>
              <w:pStyle w:val="0"/>
            </w:pPr>
            <w:r>
              <w:rPr>
                <w:sz w:val="24"/>
              </w:rPr>
              <w:t xml:space="preserve">адрес электронной почты</w:t>
            </w:r>
          </w:p>
        </w:tc>
        <w:tc>
          <w:tcPr>
            <w:gridSpan w:val="2"/>
            <w:tcW w:w="5840" w:type="dxa"/>
            <w:tcBorders>
              <w:top w:val="nil"/>
              <w:left w:val="nil"/>
              <w:bottom w:val="single" w:sz="4"/>
              <w:right w:val="nil"/>
            </w:tcBorders>
          </w:tcPr>
          <w:p>
            <w:pPr>
              <w:pStyle w:val="0"/>
            </w:pPr>
            <w:r>
              <w:rPr>
                <w:sz w:val="24"/>
              </w:rPr>
            </w:r>
          </w:p>
        </w:tc>
      </w:tr>
      <w:tr>
        <w:tc>
          <w:tcPr>
            <w:gridSpan w:val="4"/>
            <w:tcW w:w="2854" w:type="dxa"/>
            <w:vAlign w:val="bottom"/>
            <w:tcBorders>
              <w:top w:val="nil"/>
              <w:left w:val="nil"/>
              <w:bottom w:val="nil"/>
              <w:right w:val="nil"/>
            </w:tcBorders>
          </w:tcPr>
          <w:p>
            <w:pPr>
              <w:pStyle w:val="0"/>
            </w:pPr>
            <w:r>
              <w:rPr>
                <w:sz w:val="24"/>
              </w:rPr>
              <w:t xml:space="preserve">паспортные данные </w:t>
            </w:r>
            <w:hyperlink w:history="0" w:anchor="P472" w:tooltip="&lt;5&gt; Для физических лиц.">
              <w:r>
                <w:rPr>
                  <w:sz w:val="24"/>
                  <w:color w:val="0000ff"/>
                </w:rPr>
                <w:t xml:space="preserve">&lt;5&gt;</w:t>
              </w:r>
            </w:hyperlink>
          </w:p>
        </w:tc>
        <w:tc>
          <w:tcPr>
            <w:gridSpan w:val="3"/>
            <w:tcW w:w="6180" w:type="dxa"/>
            <w:tcBorders>
              <w:top w:val="nil"/>
              <w:left w:val="nil"/>
              <w:bottom w:val="single" w:sz="4"/>
              <w:right w:val="nil"/>
            </w:tcBorders>
          </w:tcPr>
          <w:p>
            <w:pPr>
              <w:pStyle w:val="0"/>
            </w:pPr>
            <w:r>
              <w:rPr>
                <w:sz w:val="24"/>
              </w:rPr>
            </w:r>
          </w:p>
        </w:tc>
      </w:tr>
      <w:tr>
        <w:tc>
          <w:tcPr>
            <w:gridSpan w:val="7"/>
            <w:tcW w:w="9034" w:type="dxa"/>
            <w:tcBorders>
              <w:top w:val="nil"/>
              <w:left w:val="nil"/>
              <w:bottom w:val="single" w:sz="4"/>
              <w:right w:val="nil"/>
            </w:tcBorders>
          </w:tcPr>
          <w:p>
            <w:pPr>
              <w:pStyle w:val="0"/>
            </w:pPr>
            <w:r>
              <w:rPr>
                <w:sz w:val="24"/>
              </w:rPr>
            </w:r>
          </w:p>
        </w:tc>
      </w:tr>
      <w:tr>
        <w:tc>
          <w:tcPr>
            <w:gridSpan w:val="7"/>
            <w:tcW w:w="9034" w:type="dxa"/>
            <w:tcBorders>
              <w:top w:val="single" w:sz="4"/>
              <w:left w:val="nil"/>
              <w:bottom w:val="nil"/>
              <w:right w:val="nil"/>
            </w:tcBorders>
          </w:tcPr>
          <w:p>
            <w:pPr>
              <w:pStyle w:val="0"/>
              <w:jc w:val="center"/>
            </w:pPr>
            <w:r>
              <w:rPr>
                <w:sz w:val="24"/>
              </w:rPr>
              <w:t xml:space="preserve">(серия, номер паспорта, кем и когда выдан)</w:t>
            </w:r>
          </w:p>
        </w:tc>
      </w:tr>
      <w:tr>
        <w:tc>
          <w:tcPr>
            <w:gridSpan w:val="7"/>
            <w:tcW w:w="9034" w:type="dxa"/>
            <w:vAlign w:val="bottom"/>
            <w:tcBorders>
              <w:top w:val="nil"/>
              <w:left w:val="nil"/>
              <w:bottom w:val="nil"/>
              <w:right w:val="nil"/>
            </w:tcBorders>
          </w:tcPr>
          <w:p>
            <w:pPr>
              <w:pStyle w:val="0"/>
              <w:jc w:val="both"/>
            </w:pPr>
            <w:r>
              <w:rPr>
                <w:sz w:val="24"/>
              </w:rPr>
              <w:t xml:space="preserve">просит произвести проверку документации, осмотр и выдать разрешение на допуск в эксплуатацию энергопринимающей установки (временное разрешение) </w:t>
            </w:r>
            <w:hyperlink w:history="0" w:anchor="P469" w:tooltip="&lt;2&gt; Подчеркивается вид требуемого разрешения.">
              <w:r>
                <w:rPr>
                  <w:sz w:val="24"/>
                  <w:color w:val="0000ff"/>
                </w:rPr>
                <w:t xml:space="preserve">&lt;2&gt;</w:t>
              </w:r>
            </w:hyperlink>
            <w:r>
              <w:rPr>
                <w:sz w:val="24"/>
              </w:rPr>
              <w:t xml:space="preserve"> на</w:t>
            </w:r>
          </w:p>
        </w:tc>
      </w:tr>
      <w:tr>
        <w:tc>
          <w:tcPr>
            <w:gridSpan w:val="7"/>
            <w:tcW w:w="9034" w:type="dxa"/>
            <w:tcBorders>
              <w:top w:val="nil"/>
              <w:left w:val="nil"/>
              <w:bottom w:val="single" w:sz="4"/>
              <w:right w:val="nil"/>
            </w:tcBorders>
          </w:tcPr>
          <w:p>
            <w:pPr>
              <w:pStyle w:val="0"/>
            </w:pPr>
            <w:r>
              <w:rPr>
                <w:sz w:val="24"/>
              </w:rPr>
            </w:r>
          </w:p>
        </w:tc>
      </w:tr>
      <w:tr>
        <w:tc>
          <w:tcPr>
            <w:gridSpan w:val="7"/>
            <w:tcW w:w="9034" w:type="dxa"/>
            <w:tcBorders>
              <w:top w:val="single" w:sz="4"/>
              <w:left w:val="nil"/>
              <w:bottom w:val="nil"/>
              <w:right w:val="nil"/>
            </w:tcBorders>
          </w:tcPr>
          <w:p>
            <w:pPr>
              <w:pStyle w:val="0"/>
              <w:jc w:val="center"/>
            </w:pPr>
            <w:r>
              <w:rPr>
                <w:sz w:val="24"/>
              </w:rPr>
              <w:t xml:space="preserve">(наименование допускаемого объекта, место нахождения)</w:t>
            </w:r>
          </w:p>
        </w:tc>
      </w:tr>
      <w:tr>
        <w:tc>
          <w:tcPr>
            <w:gridSpan w:val="7"/>
            <w:tcW w:w="9034" w:type="dxa"/>
            <w:tcBorders>
              <w:top w:val="nil"/>
              <w:left w:val="nil"/>
              <w:bottom w:val="single" w:sz="4"/>
              <w:right w:val="nil"/>
            </w:tcBorders>
          </w:tcPr>
          <w:p>
            <w:pPr>
              <w:pStyle w:val="0"/>
            </w:pPr>
            <w:r>
              <w:rPr>
                <w:sz w:val="24"/>
              </w:rPr>
            </w:r>
          </w:p>
        </w:tc>
      </w:tr>
      <w:tr>
        <w:tc>
          <w:tcPr>
            <w:gridSpan w:val="7"/>
            <w:tcW w:w="9034" w:type="dxa"/>
            <w:tcBorders>
              <w:top w:val="single" w:sz="4"/>
              <w:left w:val="nil"/>
              <w:bottom w:val="nil"/>
              <w:right w:val="nil"/>
            </w:tcBorders>
          </w:tcPr>
          <w:p>
            <w:pPr>
              <w:pStyle w:val="0"/>
              <w:jc w:val="center"/>
            </w:pPr>
            <w:r>
              <w:rPr>
                <w:sz w:val="24"/>
              </w:rPr>
              <w:t xml:space="preserve">(кадастровые номера допускаемых объектов или земельных участков, на которых расположены допускаемые объекты)</w:t>
            </w:r>
          </w:p>
        </w:tc>
      </w:tr>
      <w:tr>
        <w:tc>
          <w:tcPr>
            <w:tcW w:w="1191" w:type="dxa"/>
            <w:vAlign w:val="bottom"/>
            <w:tcBorders>
              <w:top w:val="nil"/>
              <w:left w:val="nil"/>
              <w:bottom w:val="nil"/>
              <w:right w:val="nil"/>
            </w:tcBorders>
          </w:tcPr>
          <w:p>
            <w:pPr>
              <w:pStyle w:val="0"/>
              <w:jc w:val="both"/>
            </w:pPr>
            <w:r>
              <w:rPr>
                <w:sz w:val="24"/>
              </w:rPr>
              <w:t xml:space="preserve">на период</w:t>
            </w:r>
          </w:p>
        </w:tc>
        <w:tc>
          <w:tcPr>
            <w:gridSpan w:val="6"/>
            <w:tcW w:w="7843" w:type="dxa"/>
            <w:tcBorders>
              <w:top w:val="nil"/>
              <w:left w:val="nil"/>
              <w:bottom w:val="single" w:sz="4"/>
              <w:right w:val="nil"/>
            </w:tcBorders>
          </w:tcPr>
          <w:p>
            <w:pPr>
              <w:pStyle w:val="0"/>
            </w:pPr>
            <w:r>
              <w:rPr>
                <w:sz w:val="24"/>
              </w:rPr>
            </w:r>
          </w:p>
        </w:tc>
      </w:tr>
      <w:tr>
        <w:tc>
          <w:tcPr>
            <w:tcW w:w="1191" w:type="dxa"/>
            <w:tcBorders>
              <w:top w:val="nil"/>
              <w:left w:val="nil"/>
              <w:bottom w:val="nil"/>
              <w:right w:val="nil"/>
            </w:tcBorders>
          </w:tcPr>
          <w:p>
            <w:pPr>
              <w:pStyle w:val="0"/>
            </w:pPr>
            <w:r>
              <w:rPr>
                <w:sz w:val="24"/>
              </w:rPr>
            </w:r>
          </w:p>
        </w:tc>
        <w:tc>
          <w:tcPr>
            <w:gridSpan w:val="6"/>
            <w:tcW w:w="7843" w:type="dxa"/>
            <w:tcBorders>
              <w:top w:val="single" w:sz="4"/>
              <w:left w:val="nil"/>
              <w:bottom w:val="nil"/>
              <w:right w:val="nil"/>
            </w:tcBorders>
          </w:tcPr>
          <w:p>
            <w:pPr>
              <w:pStyle w:val="0"/>
              <w:jc w:val="center"/>
            </w:pPr>
            <w:r>
              <w:rPr>
                <w:sz w:val="24"/>
              </w:rPr>
              <w:t xml:space="preserve">(указываются даты, ограничивающие период временного разрешения, а также вид испытаний и (или) работ)</w:t>
            </w:r>
          </w:p>
        </w:tc>
      </w:tr>
      <w:tr>
        <w:tc>
          <w:tcPr>
            <w:gridSpan w:val="7"/>
            <w:tcW w:w="9034" w:type="dxa"/>
            <w:vAlign w:val="bottom"/>
            <w:tcBorders>
              <w:top w:val="nil"/>
              <w:left w:val="nil"/>
              <w:bottom w:val="nil"/>
              <w:right w:val="nil"/>
            </w:tcBorders>
          </w:tcPr>
          <w:p>
            <w:pPr>
              <w:pStyle w:val="0"/>
              <w:jc w:val="both"/>
            </w:pPr>
            <w:r>
              <w:rPr>
                <w:sz w:val="24"/>
              </w:rPr>
              <w:t xml:space="preserve">Состав и характеристики допускаемого объекта </w:t>
            </w:r>
            <w:hyperlink w:history="0" w:anchor="P473" w:tooltip="&lt;6&gt; Состав и характеристики допускаемого объекта включают его описание - наименование (в том числе диспетчерское) допускаемого объекта, перечень основного оборудования допускаемого объекта (в случае поэтапного ввода - в объеме соответствующего этапа), подлежащего осмотру, определяемый в соответствии с пунктом 25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
              <w:r>
                <w:rPr>
                  <w:sz w:val="24"/>
                  <w:color w:val="0000ff"/>
                </w:rPr>
                <w:t xml:space="preserve">&lt;6&gt;</w:t>
              </w:r>
            </w:hyperlink>
            <w:r>
              <w:rPr>
                <w:sz w:val="24"/>
              </w:rPr>
              <w:t xml:space="preserve">:</w:t>
            </w:r>
          </w:p>
        </w:tc>
      </w:tr>
      <w:tr>
        <w:tc>
          <w:tcPr>
            <w:gridSpan w:val="7"/>
            <w:tcW w:w="9034" w:type="dxa"/>
            <w:tcBorders>
              <w:top w:val="nil"/>
              <w:left w:val="nil"/>
              <w:bottom w:val="single" w:sz="4"/>
              <w:right w:val="nil"/>
            </w:tcBorders>
          </w:tcPr>
          <w:p>
            <w:pPr>
              <w:pStyle w:val="0"/>
            </w:pPr>
            <w:r>
              <w:rPr>
                <w:sz w:val="24"/>
              </w:rPr>
            </w:r>
          </w:p>
        </w:tc>
      </w:tr>
      <w:tr>
        <w:tblPrEx>
          <w:tblBorders>
            <w:insideH w:val="single" w:sz="4"/>
          </w:tblBorders>
        </w:tblPrEx>
        <w:tc>
          <w:tcPr>
            <w:gridSpan w:val="7"/>
            <w:tcW w:w="9034" w:type="dxa"/>
            <w:tcBorders>
              <w:top w:val="single" w:sz="4"/>
              <w:left w:val="nil"/>
              <w:bottom w:val="single" w:sz="4"/>
              <w:right w:val="nil"/>
            </w:tcBorders>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1531"/>
        <w:gridCol w:w="340"/>
        <w:gridCol w:w="7200"/>
      </w:tblGrid>
      <w:tr>
        <w:tc>
          <w:tcPr>
            <w:tcW w:w="1531" w:type="dxa"/>
            <w:tcBorders>
              <w:top w:val="nil"/>
              <w:left w:val="nil"/>
              <w:bottom w:val="nil"/>
              <w:right w:val="nil"/>
            </w:tcBorders>
          </w:tcPr>
          <w:p>
            <w:pPr>
              <w:pStyle w:val="0"/>
            </w:pPr>
            <w:r>
              <w:rPr>
                <w:sz w:val="24"/>
              </w:rPr>
              <w:t xml:space="preserve">Приложения:</w:t>
            </w:r>
          </w:p>
        </w:tc>
        <w:tc>
          <w:tcPr>
            <w:tcW w:w="340" w:type="dxa"/>
            <w:tcBorders>
              <w:top w:val="nil"/>
              <w:left w:val="nil"/>
              <w:bottom w:val="nil"/>
              <w:right w:val="nil"/>
            </w:tcBorders>
          </w:tcPr>
          <w:p>
            <w:pPr>
              <w:pStyle w:val="0"/>
              <w:jc w:val="center"/>
            </w:pPr>
            <w:r>
              <w:rPr>
                <w:sz w:val="24"/>
              </w:rPr>
              <w:t xml:space="preserve">1.</w:t>
            </w:r>
          </w:p>
        </w:tc>
        <w:tc>
          <w:tcPr>
            <w:tcW w:w="7200" w:type="dxa"/>
            <w:tcBorders>
              <w:top w:val="nil"/>
              <w:left w:val="nil"/>
              <w:bottom w:val="nil"/>
              <w:right w:val="nil"/>
            </w:tcBorders>
          </w:tcPr>
          <w:p>
            <w:pPr>
              <w:pStyle w:val="0"/>
              <w:jc w:val="both"/>
            </w:pPr>
            <w:r>
              <w:rPr>
                <w:sz w:val="24"/>
              </w:rPr>
              <w:t xml:space="preserve">Опись прилагаемых документов на ___ листах в ___ экземплярах.</w:t>
            </w:r>
          </w:p>
        </w:tc>
      </w:tr>
      <w:tr>
        <w:tc>
          <w:tcPr>
            <w:tcW w:w="1531"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jc w:val="center"/>
            </w:pPr>
            <w:r>
              <w:rPr>
                <w:sz w:val="24"/>
              </w:rPr>
              <w:t xml:space="preserve">2.</w:t>
            </w:r>
          </w:p>
        </w:tc>
        <w:tc>
          <w:tcPr>
            <w:tcW w:w="7200" w:type="dxa"/>
            <w:tcBorders>
              <w:top w:val="nil"/>
              <w:left w:val="nil"/>
              <w:bottom w:val="nil"/>
              <w:right w:val="nil"/>
            </w:tcBorders>
          </w:tcPr>
          <w:p>
            <w:pPr>
              <w:pStyle w:val="0"/>
              <w:jc w:val="both"/>
            </w:pPr>
            <w:r>
              <w:rPr>
                <w:sz w:val="24"/>
              </w:rPr>
              <w:t xml:space="preserve">Комплект документов на ___ листах в ___ экземплярах.</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3345"/>
      </w:tblGrid>
      <w:tr>
        <w:tc>
          <w:tcPr>
            <w:tcW w:w="3345" w:type="dxa"/>
            <w:tcBorders>
              <w:top w:val="nil"/>
              <w:left w:val="nil"/>
              <w:bottom w:val="nil"/>
              <w:right w:val="nil"/>
            </w:tcBorders>
          </w:tcPr>
          <w:p>
            <w:pPr>
              <w:pStyle w:val="0"/>
              <w:jc w:val="both"/>
            </w:pPr>
            <w:r>
              <w:rPr>
                <w:sz w:val="24"/>
              </w:rPr>
              <w:t xml:space="preserve">Руководитель (заявитель):</w:t>
            </w:r>
          </w:p>
        </w:tc>
      </w:tr>
      <w:tr>
        <w:tc>
          <w:tcPr>
            <w:tcW w:w="3345" w:type="dxa"/>
            <w:tcBorders>
              <w:top w:val="nil"/>
              <w:left w:val="nil"/>
              <w:bottom w:val="single" w:sz="4"/>
              <w:right w:val="nil"/>
            </w:tcBorders>
          </w:tcPr>
          <w:p>
            <w:pPr>
              <w:pStyle w:val="0"/>
            </w:pPr>
            <w:r>
              <w:rPr>
                <w:sz w:val="24"/>
              </w:rPr>
            </w:r>
          </w:p>
        </w:tc>
      </w:tr>
      <w:tr>
        <w:tc>
          <w:tcPr>
            <w:tcW w:w="3345" w:type="dxa"/>
            <w:tcBorders>
              <w:top w:val="single" w:sz="4"/>
              <w:left w:val="nil"/>
              <w:bottom w:val="nil"/>
              <w:right w:val="nil"/>
            </w:tcBorders>
          </w:tcPr>
          <w:p>
            <w:pPr>
              <w:pStyle w:val="0"/>
            </w:pPr>
            <w:r>
              <w:rPr>
                <w:sz w:val="24"/>
              </w:rPr>
              <w:t xml:space="preserve">"__" ____________ 20__ г.</w:t>
            </w:r>
          </w:p>
        </w:tc>
      </w:tr>
      <w:tr>
        <w:tc>
          <w:tcPr>
            <w:tcW w:w="3345" w:type="dxa"/>
            <w:tcBorders>
              <w:top w:val="nil"/>
              <w:left w:val="nil"/>
              <w:bottom w:val="nil"/>
              <w:right w:val="nil"/>
            </w:tcBorders>
          </w:tcPr>
          <w:p>
            <w:pPr>
              <w:pStyle w:val="0"/>
              <w:jc w:val="both"/>
            </w:pPr>
            <w:r>
              <w:rPr>
                <w:sz w:val="24"/>
              </w:rPr>
              <w:t xml:space="preserve">МП</w:t>
            </w:r>
          </w:p>
        </w:tc>
      </w:tr>
    </w:tbl>
    <w:p>
      <w:pPr>
        <w:pStyle w:val="0"/>
        <w:jc w:val="both"/>
      </w:pPr>
      <w:r>
        <w:rPr>
          <w:sz w:val="24"/>
        </w:rPr>
      </w:r>
    </w:p>
    <w:p>
      <w:pPr>
        <w:pStyle w:val="0"/>
        <w:ind w:firstLine="540"/>
        <w:jc w:val="both"/>
      </w:pPr>
      <w:r>
        <w:rPr>
          <w:sz w:val="24"/>
        </w:rPr>
        <w:t xml:space="preserve">--------------------------------</w:t>
      </w:r>
    </w:p>
    <w:bookmarkStart w:id="468" w:name="P468"/>
    <w:bookmarkEnd w:id="468"/>
    <w:p>
      <w:pPr>
        <w:pStyle w:val="0"/>
        <w:spacing w:before="240" w:line-rule="auto"/>
        <w:ind w:firstLine="540"/>
        <w:jc w:val="both"/>
      </w:pPr>
      <w:r>
        <w:rPr>
          <w:sz w:val="24"/>
        </w:rPr>
        <w:t xml:space="preserve">&lt;1&gt; Все поля в заявлении являются обязательными для заполнения.</w:t>
      </w:r>
    </w:p>
    <w:bookmarkStart w:id="469" w:name="P469"/>
    <w:bookmarkEnd w:id="469"/>
    <w:p>
      <w:pPr>
        <w:pStyle w:val="0"/>
        <w:spacing w:before="240" w:line-rule="auto"/>
        <w:ind w:firstLine="540"/>
        <w:jc w:val="both"/>
      </w:pPr>
      <w:r>
        <w:rPr>
          <w:sz w:val="24"/>
        </w:rPr>
        <w:t xml:space="preserve">&lt;2&gt; Подчеркивается вид требуемого разрешения.</w:t>
      </w:r>
    </w:p>
    <w:bookmarkStart w:id="470" w:name="P470"/>
    <w:bookmarkEnd w:id="470"/>
    <w:p>
      <w:pPr>
        <w:pStyle w:val="0"/>
        <w:spacing w:before="240" w:line-rule="auto"/>
        <w:ind w:firstLine="540"/>
        <w:jc w:val="both"/>
      </w:pPr>
      <w:r>
        <w:rPr>
          <w:sz w:val="24"/>
        </w:rPr>
        <w:t xml:space="preserve">&lt;3&gt; Подчеркивается вид объекта, допускаемого в эксплуатацию.</w:t>
      </w:r>
    </w:p>
    <w:bookmarkStart w:id="471" w:name="P471"/>
    <w:bookmarkEnd w:id="471"/>
    <w:p>
      <w:pPr>
        <w:pStyle w:val="0"/>
        <w:spacing w:before="240" w:line-rule="auto"/>
        <w:ind w:firstLine="540"/>
        <w:jc w:val="both"/>
      </w:pPr>
      <w:r>
        <w:rPr>
          <w:sz w:val="24"/>
        </w:rPr>
        <w:t xml:space="preserve">&lt;4&gt; Для юридических лиц указываются должность, фамилия, имя и отчество (при наличии) руководителя, для индивидуальных предпринимателей - фамилия, имя и отчество (при наличии) индивидуального предпринимателя.</w:t>
      </w:r>
    </w:p>
    <w:bookmarkStart w:id="472" w:name="P472"/>
    <w:bookmarkEnd w:id="472"/>
    <w:p>
      <w:pPr>
        <w:pStyle w:val="0"/>
        <w:spacing w:before="240" w:line-rule="auto"/>
        <w:ind w:firstLine="540"/>
        <w:jc w:val="both"/>
      </w:pPr>
      <w:r>
        <w:rPr>
          <w:sz w:val="24"/>
        </w:rPr>
        <w:t xml:space="preserve">&lt;5&gt; Для физических лиц.</w:t>
      </w:r>
    </w:p>
    <w:bookmarkStart w:id="473" w:name="P473"/>
    <w:bookmarkEnd w:id="473"/>
    <w:p>
      <w:pPr>
        <w:pStyle w:val="0"/>
        <w:spacing w:before="240" w:line-rule="auto"/>
        <w:ind w:firstLine="540"/>
        <w:jc w:val="both"/>
      </w:pPr>
      <w:r>
        <w:rPr>
          <w:sz w:val="24"/>
        </w:rPr>
        <w:t xml:space="preserve">&lt;6&gt; Состав и характеристики допускаемого объекта включают его описание - наименование (в том числе диспетчерское) допускаемого объекта, перечень основного оборудования допускаемого объекта (в случае поэтапного ввода - в объеме соответствующего этапа), подлежащего осмотру, определяемый в соответствии с </w:t>
      </w:r>
      <w:hyperlink w:history="0" r:id="rId86"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пунктом 25</w:t>
        </w:r>
      </w:hyperlink>
      <w:r>
        <w:rPr>
          <w:sz w:val="24"/>
        </w:rPr>
        <w:t xml:space="preserve">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утвержденных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 из числа оборудования, предусмотренного </w:t>
      </w:r>
      <w:hyperlink w:history="0" r:id="rId87" w:tooltip="Постановление Правительства РФ от 30.01.2021 N 85 (ред. от 03.02.2023) &quot;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quot; ------------ Недействующая редакция {КонсультантПлюс}">
        <w:r>
          <w:rPr>
            <w:sz w:val="24"/>
            <w:color w:val="0000ff"/>
          </w:rPr>
          <w:t xml:space="preserve">приложением N 3</w:t>
        </w:r>
      </w:hyperlink>
      <w:r>
        <w:rPr>
          <w:sz w:val="24"/>
        </w:rPr>
        <w:t xml:space="preserve"> к указанным Правилам, с указанием типа, номинальной мощности, напряжения, скорости вращения, рабочего давления, температуры, вместимости сосудов, протяженности кабельных и воздушных линий электропередачи, тепловых сетей, количества опор, марки и сечения кабеля (провода), диаметра трубопроводов.</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3</w:t>
      </w:r>
    </w:p>
    <w:p>
      <w:pPr>
        <w:pStyle w:val="0"/>
        <w:jc w:val="right"/>
      </w:pPr>
      <w:r>
        <w:rPr>
          <w:sz w:val="24"/>
        </w:rPr>
        <w:t xml:space="preserve">к Правилам выдачи разрешений</w:t>
      </w:r>
    </w:p>
    <w:p>
      <w:pPr>
        <w:pStyle w:val="0"/>
        <w:jc w:val="right"/>
      </w:pPr>
      <w:r>
        <w:rPr>
          <w:sz w:val="24"/>
        </w:rPr>
        <w:t xml:space="preserve">на допуск в эксплуатацию</w:t>
      </w:r>
    </w:p>
    <w:p>
      <w:pPr>
        <w:pStyle w:val="0"/>
        <w:jc w:val="right"/>
      </w:pPr>
      <w:r>
        <w:rPr>
          <w:sz w:val="24"/>
        </w:rPr>
        <w:t xml:space="preserve">энергопринимающих установок</w:t>
      </w:r>
    </w:p>
    <w:p>
      <w:pPr>
        <w:pStyle w:val="0"/>
        <w:jc w:val="right"/>
      </w:pPr>
      <w:r>
        <w:rPr>
          <w:sz w:val="24"/>
        </w:rPr>
        <w:t xml:space="preserve">потребителей электрической энергии,</w:t>
      </w:r>
    </w:p>
    <w:p>
      <w:pPr>
        <w:pStyle w:val="0"/>
        <w:jc w:val="right"/>
      </w:pPr>
      <w:r>
        <w:rPr>
          <w:sz w:val="24"/>
        </w:rPr>
        <w:t xml:space="preserve">объектов по производству электрической</w:t>
      </w:r>
    </w:p>
    <w:p>
      <w:pPr>
        <w:pStyle w:val="0"/>
        <w:jc w:val="right"/>
      </w:pPr>
      <w:r>
        <w:rPr>
          <w:sz w:val="24"/>
        </w:rPr>
        <w:t xml:space="preserve">энергии, объектов электросетевого</w:t>
      </w:r>
    </w:p>
    <w:p>
      <w:pPr>
        <w:pStyle w:val="0"/>
        <w:jc w:val="right"/>
      </w:pPr>
      <w:r>
        <w:rPr>
          <w:sz w:val="24"/>
        </w:rPr>
        <w:t xml:space="preserve">хозяйства, объектов теплоснабжения</w:t>
      </w:r>
    </w:p>
    <w:p>
      <w:pPr>
        <w:pStyle w:val="0"/>
        <w:jc w:val="right"/>
      </w:pPr>
      <w:r>
        <w:rPr>
          <w:sz w:val="24"/>
        </w:rPr>
        <w:t xml:space="preserve">и теплопотребляющих установок</w:t>
      </w:r>
    </w:p>
    <w:p>
      <w:pPr>
        <w:pStyle w:val="0"/>
        <w:jc w:val="both"/>
      </w:pPr>
      <w:r>
        <w:rPr>
          <w:sz w:val="24"/>
        </w:rPr>
      </w:r>
    </w:p>
    <w:bookmarkStart w:id="489" w:name="P489"/>
    <w:bookmarkEnd w:id="489"/>
    <w:p>
      <w:pPr>
        <w:pStyle w:val="2"/>
        <w:jc w:val="center"/>
      </w:pPr>
      <w:r>
        <w:rPr>
          <w:sz w:val="24"/>
        </w:rPr>
        <w:t xml:space="preserve">ПЕРЕЧЕНЬ</w:t>
      </w:r>
    </w:p>
    <w:p>
      <w:pPr>
        <w:pStyle w:val="2"/>
        <w:jc w:val="center"/>
      </w:pPr>
      <w:r>
        <w:rPr>
          <w:sz w:val="24"/>
        </w:rPr>
        <w:t xml:space="preserve">ОБОРУДОВАНИЯ В СОСТАВЕ ДОПУСКАЕМЫХ ОБЪЕКТОВ, В ОТНОШЕНИИ</w:t>
      </w:r>
    </w:p>
    <w:p>
      <w:pPr>
        <w:pStyle w:val="2"/>
        <w:jc w:val="center"/>
      </w:pPr>
      <w:r>
        <w:rPr>
          <w:sz w:val="24"/>
        </w:rPr>
        <w:t xml:space="preserve">КОТОРОГО ВОЗМОЖНО ПРОВЕДЕНИЕ ОСМОТРА ОРГАНОМ ФЕДЕРАЛЬНОГО</w:t>
      </w:r>
    </w:p>
    <w:p>
      <w:pPr>
        <w:pStyle w:val="2"/>
        <w:jc w:val="center"/>
      </w:pPr>
      <w:r>
        <w:rPr>
          <w:sz w:val="24"/>
        </w:rPr>
        <w:t xml:space="preserve">ГОСУДАРСТВЕННОГО ЭНЕРГЕТИЧЕСКОГО НАДЗОРА В ХОДЕ ВЫДАЧИ</w:t>
      </w:r>
    </w:p>
    <w:p>
      <w:pPr>
        <w:pStyle w:val="2"/>
        <w:jc w:val="center"/>
      </w:pPr>
      <w:r>
        <w:rPr>
          <w:sz w:val="24"/>
        </w:rPr>
        <w:t xml:space="preserve">РАЗРЕШЕНИЙ НА ДОПУСК ЭНЕРГОПРИНИМАЮЩИХ УСТАНОВОК</w:t>
      </w:r>
    </w:p>
    <w:p>
      <w:pPr>
        <w:pStyle w:val="2"/>
        <w:jc w:val="center"/>
      </w:pPr>
      <w:r>
        <w:rPr>
          <w:sz w:val="24"/>
        </w:rPr>
        <w:t xml:space="preserve">ПОТРЕБИТЕЛЕЙ ЭЛЕКТРИЧЕСКОЙ ЭНЕРГИИ (ОБЪЕКТОВ</w:t>
      </w:r>
    </w:p>
    <w:p>
      <w:pPr>
        <w:pStyle w:val="2"/>
        <w:jc w:val="center"/>
      </w:pPr>
      <w:r>
        <w:rPr>
          <w:sz w:val="24"/>
        </w:rPr>
        <w:t xml:space="preserve">ПО ПРОИЗВОДСТВУ ЭЛЕКТРИЧЕСКОЙ ЭНЕРГИИ, ОБЪЕКТОВ</w:t>
      </w:r>
    </w:p>
    <w:p>
      <w:pPr>
        <w:pStyle w:val="2"/>
        <w:jc w:val="center"/>
      </w:pPr>
      <w:r>
        <w:rPr>
          <w:sz w:val="24"/>
        </w:rPr>
        <w:t xml:space="preserve">ЭЛЕКТРОСЕТЕВОГО ХОЗЯЙСТВА, ОБЪЕКТОВ ТЕПЛОСНАБЖЕНИЯ,</w:t>
      </w:r>
    </w:p>
    <w:p>
      <w:pPr>
        <w:pStyle w:val="2"/>
        <w:jc w:val="center"/>
      </w:pPr>
      <w:r>
        <w:rPr>
          <w:sz w:val="24"/>
        </w:rPr>
        <w:t xml:space="preserve">ТЕПЛОПОТРЕБЛЯЮЩИХ УСТАНОВОК)</w:t>
      </w:r>
    </w:p>
    <w:p>
      <w:pPr>
        <w:pStyle w:val="0"/>
        <w:jc w:val="both"/>
      </w:pPr>
      <w:r>
        <w:rPr>
          <w:sz w:val="24"/>
        </w:rPr>
      </w:r>
    </w:p>
    <w:p>
      <w:pPr>
        <w:pStyle w:val="0"/>
        <w:ind w:firstLine="540"/>
        <w:jc w:val="both"/>
      </w:pPr>
      <w:r>
        <w:rPr>
          <w:sz w:val="24"/>
        </w:rPr>
        <w:t xml:space="preserve">1. В составе энергопринимающей установки:</w:t>
      </w:r>
    </w:p>
    <w:p>
      <w:pPr>
        <w:pStyle w:val="0"/>
        <w:spacing w:before="240" w:line-rule="auto"/>
        <w:ind w:firstLine="540"/>
        <w:jc w:val="both"/>
      </w:pPr>
      <w:r>
        <w:rPr>
          <w:sz w:val="24"/>
        </w:rPr>
        <w:t xml:space="preserve">аппараты, агрегаты, механизмы, трансформаторы, электротехническое оборудование трансформаторных подстанций, заземляющие устройства, шинные мосты и гибкие связи напряжением 1 кВ и выше, силовые кабельные линии напряжением 1 кВ и выше, электродвигатели (машины) постоянного и переменного тока напряжением 1 кВ и выше с пускорегулирующими устройствами, электротехническое оборудование источников энергии, используемых в составе энергопринимающей установки, иное оборудование, предназначенное для преобразования электрической энергии в другой вид энергии в целях ее потребления (использования, транспортировки);</w:t>
      </w:r>
    </w:p>
    <w:p>
      <w:pPr>
        <w:pStyle w:val="0"/>
        <w:spacing w:before="240" w:line-rule="auto"/>
        <w:ind w:firstLine="540"/>
        <w:jc w:val="both"/>
      </w:pPr>
      <w:r>
        <w:rPr>
          <w:sz w:val="24"/>
        </w:rPr>
        <w:t xml:space="preserve">автономные резервные источники питания, установка которых требуется с учетом категории надежности электроснабжения или наличия у потребителя электрической энергии электроприемников, для которых установлена технологическая или аварийная броня.</w:t>
      </w:r>
    </w:p>
    <w:bookmarkStart w:id="502" w:name="P502"/>
    <w:bookmarkEnd w:id="502"/>
    <w:p>
      <w:pPr>
        <w:pStyle w:val="0"/>
        <w:spacing w:before="240" w:line-rule="auto"/>
        <w:ind w:firstLine="540"/>
        <w:jc w:val="both"/>
      </w:pPr>
      <w:r>
        <w:rPr>
          <w:sz w:val="24"/>
        </w:rPr>
        <w:t xml:space="preserve">2. В составе объекта по производству электрической энергии, объекта электросетевого хозяйства:</w:t>
      </w:r>
    </w:p>
    <w:p>
      <w:pPr>
        <w:pStyle w:val="0"/>
        <w:spacing w:before="240" w:line-rule="auto"/>
        <w:ind w:firstLine="540"/>
        <w:jc w:val="both"/>
      </w:pPr>
      <w:r>
        <w:rPr>
          <w:sz w:val="24"/>
        </w:rPr>
        <w:t xml:space="preserve">паровые турбины;</w:t>
      </w:r>
    </w:p>
    <w:p>
      <w:pPr>
        <w:pStyle w:val="0"/>
        <w:spacing w:before="240" w:line-rule="auto"/>
        <w:ind w:firstLine="540"/>
        <w:jc w:val="both"/>
      </w:pPr>
      <w:r>
        <w:rPr>
          <w:sz w:val="24"/>
        </w:rPr>
        <w:t xml:space="preserve">газовые турбины;</w:t>
      </w:r>
    </w:p>
    <w:p>
      <w:pPr>
        <w:pStyle w:val="0"/>
        <w:spacing w:before="240" w:line-rule="auto"/>
        <w:ind w:firstLine="540"/>
        <w:jc w:val="both"/>
      </w:pPr>
      <w:r>
        <w:rPr>
          <w:sz w:val="24"/>
        </w:rPr>
        <w:t xml:space="preserve">гидравлические турбины;</w:t>
      </w:r>
    </w:p>
    <w:p>
      <w:pPr>
        <w:pStyle w:val="0"/>
        <w:spacing w:before="240" w:line-rule="auto"/>
        <w:ind w:firstLine="540"/>
        <w:jc w:val="both"/>
      </w:pPr>
      <w:r>
        <w:rPr>
          <w:sz w:val="24"/>
        </w:rPr>
        <w:t xml:space="preserve">вращающиеся электрические машины (генераторы, синхронные компенсаторы совместно с системами возбуждения);</w:t>
      </w:r>
    </w:p>
    <w:p>
      <w:pPr>
        <w:pStyle w:val="0"/>
        <w:spacing w:before="240" w:line-rule="auto"/>
        <w:ind w:firstLine="540"/>
        <w:jc w:val="both"/>
      </w:pPr>
      <w:r>
        <w:rPr>
          <w:sz w:val="24"/>
        </w:rPr>
        <w:t xml:space="preserve">силовые трансформаторы (автотрансформаторы);</w:t>
      </w:r>
    </w:p>
    <w:p>
      <w:pPr>
        <w:pStyle w:val="0"/>
        <w:spacing w:before="240" w:line-rule="auto"/>
        <w:ind w:firstLine="540"/>
        <w:jc w:val="both"/>
      </w:pPr>
      <w:r>
        <w:rPr>
          <w:sz w:val="24"/>
        </w:rPr>
        <w:t xml:space="preserve">электротехническое оборудование трансформаторных подстанций, распределительных устройств, распределительных пунктов (кроме щитов учета электрической энергии);</w:t>
      </w:r>
    </w:p>
    <w:p>
      <w:pPr>
        <w:pStyle w:val="0"/>
        <w:spacing w:before="240" w:line-rule="auto"/>
        <w:ind w:firstLine="540"/>
        <w:jc w:val="both"/>
      </w:pPr>
      <w:r>
        <w:rPr>
          <w:sz w:val="24"/>
        </w:rPr>
        <w:t xml:space="preserve">линии электропередачи (кроме щитов учета, а также участков линии от магистрали до щитов учета, смонтированных на опорах, и далее проложенных до энергопринимающих установок потребителя электрической энергии);</w:t>
      </w:r>
    </w:p>
    <w:p>
      <w:pPr>
        <w:pStyle w:val="0"/>
        <w:spacing w:before="240" w:line-rule="auto"/>
        <w:ind w:firstLine="540"/>
        <w:jc w:val="both"/>
      </w:pPr>
      <w:r>
        <w:rPr>
          <w:sz w:val="24"/>
        </w:rPr>
        <w:t xml:space="preserve">шинные мосты и гибкие связи, силовые кабельные линии напряжением 1 кВ и выше;</w:t>
      </w:r>
    </w:p>
    <w:p>
      <w:pPr>
        <w:pStyle w:val="0"/>
        <w:spacing w:before="240" w:line-rule="auto"/>
        <w:ind w:firstLine="540"/>
        <w:jc w:val="both"/>
      </w:pPr>
      <w:r>
        <w:rPr>
          <w:sz w:val="24"/>
        </w:rPr>
        <w:t xml:space="preserve">электродвигатели (машины) постоянного и переменного тока напряжением 1 кВ и выше с пускорегулирующими устройствами;</w:t>
      </w:r>
    </w:p>
    <w:p>
      <w:pPr>
        <w:pStyle w:val="0"/>
        <w:spacing w:before="240" w:line-rule="auto"/>
        <w:ind w:firstLine="540"/>
        <w:jc w:val="both"/>
      </w:pPr>
      <w:r>
        <w:rPr>
          <w:sz w:val="24"/>
        </w:rPr>
        <w:t xml:space="preserve">электротехническое оборудование собственных нужд;</w:t>
      </w:r>
    </w:p>
    <w:p>
      <w:pPr>
        <w:pStyle w:val="0"/>
        <w:spacing w:before="240" w:line-rule="auto"/>
        <w:ind w:firstLine="540"/>
        <w:jc w:val="both"/>
      </w:pPr>
      <w:r>
        <w:rPr>
          <w:sz w:val="24"/>
        </w:rPr>
        <w:t xml:space="preserve">источники электроснабжения системы собственных нужд;</w:t>
      </w:r>
    </w:p>
    <w:p>
      <w:pPr>
        <w:pStyle w:val="0"/>
        <w:spacing w:before="240" w:line-rule="auto"/>
        <w:ind w:firstLine="540"/>
        <w:jc w:val="both"/>
      </w:pPr>
      <w:r>
        <w:rPr>
          <w:sz w:val="24"/>
        </w:rPr>
        <w:t xml:space="preserve">системы оперативного тока (аккумуляторные батареи, зарядные устройства, устройства стабилизации напряжения, щиты постоянного тока);</w:t>
      </w:r>
    </w:p>
    <w:p>
      <w:pPr>
        <w:pStyle w:val="0"/>
        <w:spacing w:before="240" w:line-rule="auto"/>
        <w:ind w:firstLine="540"/>
        <w:jc w:val="both"/>
      </w:pPr>
      <w:r>
        <w:rPr>
          <w:sz w:val="24"/>
        </w:rPr>
        <w:t xml:space="preserve">комплексы и устройства релейной защиты и автоматики;</w:t>
      </w:r>
    </w:p>
    <w:p>
      <w:pPr>
        <w:pStyle w:val="0"/>
        <w:spacing w:before="240" w:line-rule="auto"/>
        <w:ind w:firstLine="540"/>
        <w:jc w:val="both"/>
      </w:pPr>
      <w:r>
        <w:rPr>
          <w:sz w:val="24"/>
        </w:rPr>
        <w:t xml:space="preserve">средства диспетчерского и технологического управления;</w:t>
      </w:r>
    </w:p>
    <w:p>
      <w:pPr>
        <w:pStyle w:val="0"/>
        <w:spacing w:before="240" w:line-rule="auto"/>
        <w:ind w:firstLine="540"/>
        <w:jc w:val="both"/>
      </w:pPr>
      <w:r>
        <w:rPr>
          <w:sz w:val="24"/>
        </w:rPr>
        <w:t xml:space="preserve">заземляющие устройства;</w:t>
      </w:r>
    </w:p>
    <w:p>
      <w:pPr>
        <w:pStyle w:val="0"/>
        <w:spacing w:before="240" w:line-rule="auto"/>
        <w:ind w:firstLine="540"/>
        <w:jc w:val="both"/>
      </w:pPr>
      <w:r>
        <w:rPr>
          <w:sz w:val="24"/>
        </w:rPr>
        <w:t xml:space="preserve">насосное оборудование с приводом от электродвигателя;</w:t>
      </w:r>
    </w:p>
    <w:p>
      <w:pPr>
        <w:pStyle w:val="0"/>
        <w:spacing w:before="240" w:line-rule="auto"/>
        <w:ind w:firstLine="540"/>
        <w:jc w:val="both"/>
      </w:pPr>
      <w:r>
        <w:rPr>
          <w:sz w:val="24"/>
        </w:rPr>
        <w:t xml:space="preserve">теплообменное оборудование;</w:t>
      </w:r>
    </w:p>
    <w:p>
      <w:pPr>
        <w:pStyle w:val="0"/>
        <w:spacing w:before="240" w:line-rule="auto"/>
        <w:ind w:firstLine="540"/>
        <w:jc w:val="both"/>
      </w:pPr>
      <w:r>
        <w:rPr>
          <w:sz w:val="24"/>
        </w:rPr>
        <w:t xml:space="preserve">оборудование поддержания водно-химического режима;</w:t>
      </w:r>
    </w:p>
    <w:p>
      <w:pPr>
        <w:pStyle w:val="0"/>
        <w:spacing w:before="240" w:line-rule="auto"/>
        <w:ind w:firstLine="540"/>
        <w:jc w:val="both"/>
      </w:pPr>
      <w:r>
        <w:rPr>
          <w:sz w:val="24"/>
        </w:rPr>
        <w:t xml:space="preserve">технологические защиты и автоматика, обеспечивающие безопасную работу объекта по производству электрической энергии,</w:t>
      </w:r>
    </w:p>
    <w:p>
      <w:pPr>
        <w:pStyle w:val="0"/>
        <w:spacing w:before="240" w:line-rule="auto"/>
        <w:ind w:firstLine="540"/>
        <w:jc w:val="both"/>
      </w:pPr>
      <w:r>
        <w:rPr>
          <w:sz w:val="24"/>
        </w:rPr>
        <w:t xml:space="preserve">трубопроводы и арматура, запорно-регулирующая и аварийно-предохранительная арматура;</w:t>
      </w:r>
    </w:p>
    <w:p>
      <w:pPr>
        <w:pStyle w:val="0"/>
        <w:spacing w:before="240" w:line-rule="auto"/>
        <w:ind w:firstLine="540"/>
        <w:jc w:val="both"/>
      </w:pPr>
      <w:r>
        <w:rPr>
          <w:sz w:val="24"/>
        </w:rPr>
        <w:t xml:space="preserve">вспомогательное оборудование (дымососы, вентиляторы, деаэраторы, баки аккумуляторы, питательные баки, конденсатные баки, сепараторы);</w:t>
      </w:r>
    </w:p>
    <w:p>
      <w:pPr>
        <w:pStyle w:val="0"/>
        <w:spacing w:before="240" w:line-rule="auto"/>
        <w:ind w:firstLine="540"/>
        <w:jc w:val="both"/>
      </w:pPr>
      <w:r>
        <w:rPr>
          <w:sz w:val="24"/>
        </w:rPr>
        <w:t xml:space="preserve">резервное топливное хозяйство.</w:t>
      </w:r>
    </w:p>
    <w:p>
      <w:pPr>
        <w:pStyle w:val="0"/>
        <w:spacing w:before="240" w:line-rule="auto"/>
        <w:ind w:firstLine="540"/>
        <w:jc w:val="both"/>
      </w:pPr>
      <w:r>
        <w:rPr>
          <w:sz w:val="24"/>
        </w:rPr>
        <w:t xml:space="preserve">3. В составе объекта теплоснабжения:</w:t>
      </w:r>
    </w:p>
    <w:p>
      <w:pPr>
        <w:pStyle w:val="0"/>
        <w:spacing w:before="240" w:line-rule="auto"/>
        <w:ind w:firstLine="540"/>
        <w:jc w:val="both"/>
      </w:pPr>
      <w:r>
        <w:rPr>
          <w:sz w:val="24"/>
        </w:rPr>
        <w:t xml:space="preserve">котельные установки, водогрейные котлы;</w:t>
      </w:r>
    </w:p>
    <w:p>
      <w:pPr>
        <w:pStyle w:val="0"/>
        <w:spacing w:before="240" w:line-rule="auto"/>
        <w:ind w:firstLine="540"/>
        <w:jc w:val="both"/>
      </w:pPr>
      <w:r>
        <w:rPr>
          <w:sz w:val="24"/>
        </w:rPr>
        <w:t xml:space="preserve">трубопроводы и арматура, запорно-регулирующая и аварийно-предохранительная арматура;</w:t>
      </w:r>
    </w:p>
    <w:p>
      <w:pPr>
        <w:pStyle w:val="0"/>
        <w:spacing w:before="240" w:line-rule="auto"/>
        <w:ind w:firstLine="540"/>
        <w:jc w:val="both"/>
      </w:pPr>
      <w:r>
        <w:rPr>
          <w:sz w:val="24"/>
        </w:rPr>
        <w:t xml:space="preserve">насосное оборудование с приводом от электродвигателя;</w:t>
      </w:r>
    </w:p>
    <w:p>
      <w:pPr>
        <w:pStyle w:val="0"/>
        <w:spacing w:before="240" w:line-rule="auto"/>
        <w:ind w:firstLine="540"/>
        <w:jc w:val="both"/>
      </w:pPr>
      <w:r>
        <w:rPr>
          <w:sz w:val="24"/>
        </w:rPr>
        <w:t xml:space="preserve">оборудование поддержания водно-химического режима;</w:t>
      </w:r>
    </w:p>
    <w:p>
      <w:pPr>
        <w:pStyle w:val="0"/>
        <w:spacing w:before="240" w:line-rule="auto"/>
        <w:ind w:firstLine="540"/>
        <w:jc w:val="both"/>
      </w:pPr>
      <w:r>
        <w:rPr>
          <w:sz w:val="24"/>
        </w:rPr>
        <w:t xml:space="preserve">системы автоматики, системы безопасной работы источника тепловой энергии (котельной);</w:t>
      </w:r>
    </w:p>
    <w:p>
      <w:pPr>
        <w:pStyle w:val="0"/>
        <w:spacing w:before="240" w:line-rule="auto"/>
        <w:ind w:firstLine="540"/>
        <w:jc w:val="both"/>
      </w:pPr>
      <w:r>
        <w:rPr>
          <w:sz w:val="24"/>
        </w:rPr>
        <w:t xml:space="preserve">источники бесперебойного питания для исполнительных механизмов технологических защит;</w:t>
      </w:r>
    </w:p>
    <w:p>
      <w:pPr>
        <w:pStyle w:val="0"/>
        <w:spacing w:before="240" w:line-rule="auto"/>
        <w:ind w:firstLine="540"/>
        <w:jc w:val="both"/>
      </w:pPr>
      <w:r>
        <w:rPr>
          <w:sz w:val="24"/>
        </w:rPr>
        <w:t xml:space="preserve">электротехническое оборудование собственных нужд;</w:t>
      </w:r>
    </w:p>
    <w:p>
      <w:pPr>
        <w:pStyle w:val="0"/>
        <w:spacing w:before="240" w:line-rule="auto"/>
        <w:ind w:firstLine="540"/>
        <w:jc w:val="both"/>
      </w:pPr>
      <w:r>
        <w:rPr>
          <w:sz w:val="24"/>
        </w:rPr>
        <w:t xml:space="preserve">вспомогательное оборудование (дымососы, вентиляторы, деаэраторы, баки-аккумуляторы, питательные баки, конденсатные баки, сепараторы);</w:t>
      </w:r>
    </w:p>
    <w:p>
      <w:pPr>
        <w:pStyle w:val="0"/>
        <w:spacing w:before="240" w:line-rule="auto"/>
        <w:ind w:firstLine="540"/>
        <w:jc w:val="both"/>
      </w:pPr>
      <w:r>
        <w:rPr>
          <w:sz w:val="24"/>
        </w:rPr>
        <w:t xml:space="preserve">теплообменное оборудование;</w:t>
      </w:r>
    </w:p>
    <w:p>
      <w:pPr>
        <w:pStyle w:val="0"/>
        <w:spacing w:before="240" w:line-rule="auto"/>
        <w:ind w:firstLine="540"/>
        <w:jc w:val="both"/>
      </w:pPr>
      <w:r>
        <w:rPr>
          <w:sz w:val="24"/>
        </w:rPr>
        <w:t xml:space="preserve">резервное топливное хозяйство.</w:t>
      </w:r>
    </w:p>
    <w:p>
      <w:pPr>
        <w:pStyle w:val="0"/>
        <w:spacing w:before="240" w:line-rule="auto"/>
        <w:ind w:firstLine="540"/>
        <w:jc w:val="both"/>
      </w:pPr>
      <w:r>
        <w:rPr>
          <w:sz w:val="24"/>
        </w:rPr>
        <w:t xml:space="preserve">4. В составе теплопотребляющей установки - оборудование и компоненты устройства, предназначенного для использования тепловой энергии (теплоносителя) для нужд потребителя тепловой энергии.</w:t>
      </w:r>
    </w:p>
    <w:p>
      <w:pPr>
        <w:pStyle w:val="0"/>
        <w:spacing w:before="240" w:line-rule="auto"/>
        <w:ind w:firstLine="540"/>
        <w:jc w:val="both"/>
      </w:pPr>
      <w:r>
        <w:rPr>
          <w:sz w:val="24"/>
        </w:rPr>
        <w:t xml:space="preserve">5. В составе энергопринимающей установки, предназначенной для производства испытаний электрооборудования повышенным напряжением, - оборудование, испытательные установки и устройства, предназначенные для проведения заявленных видов испытаний и измерений.</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1"/>
        <w:jc w:val="right"/>
      </w:pPr>
      <w:r>
        <w:rPr>
          <w:sz w:val="24"/>
        </w:rPr>
        <w:t xml:space="preserve">Приложение N 4</w:t>
      </w:r>
    </w:p>
    <w:p>
      <w:pPr>
        <w:pStyle w:val="0"/>
        <w:jc w:val="right"/>
      </w:pPr>
      <w:r>
        <w:rPr>
          <w:sz w:val="24"/>
        </w:rPr>
        <w:t xml:space="preserve">к Правилам выдачи разрешений</w:t>
      </w:r>
    </w:p>
    <w:p>
      <w:pPr>
        <w:pStyle w:val="0"/>
        <w:jc w:val="right"/>
      </w:pPr>
      <w:r>
        <w:rPr>
          <w:sz w:val="24"/>
        </w:rPr>
        <w:t xml:space="preserve">на допуск в эксплуатацию</w:t>
      </w:r>
    </w:p>
    <w:p>
      <w:pPr>
        <w:pStyle w:val="0"/>
        <w:jc w:val="right"/>
      </w:pPr>
      <w:r>
        <w:rPr>
          <w:sz w:val="24"/>
        </w:rPr>
        <w:t xml:space="preserve">энергопринимающих установок</w:t>
      </w:r>
    </w:p>
    <w:p>
      <w:pPr>
        <w:pStyle w:val="0"/>
        <w:jc w:val="right"/>
      </w:pPr>
      <w:r>
        <w:rPr>
          <w:sz w:val="24"/>
        </w:rPr>
        <w:t xml:space="preserve">потребителей электрической энергии,</w:t>
      </w:r>
    </w:p>
    <w:p>
      <w:pPr>
        <w:pStyle w:val="0"/>
        <w:jc w:val="right"/>
      </w:pPr>
      <w:r>
        <w:rPr>
          <w:sz w:val="24"/>
        </w:rPr>
        <w:t xml:space="preserve">объектов по производству электрической</w:t>
      </w:r>
    </w:p>
    <w:p>
      <w:pPr>
        <w:pStyle w:val="0"/>
        <w:jc w:val="right"/>
      </w:pPr>
      <w:r>
        <w:rPr>
          <w:sz w:val="24"/>
        </w:rPr>
        <w:t xml:space="preserve">энергии, объектов электросетевого</w:t>
      </w:r>
    </w:p>
    <w:p>
      <w:pPr>
        <w:pStyle w:val="0"/>
        <w:jc w:val="right"/>
      </w:pPr>
      <w:r>
        <w:rPr>
          <w:sz w:val="24"/>
        </w:rPr>
        <w:t xml:space="preserve">хозяйства, объектов теплоснабжения</w:t>
      </w:r>
    </w:p>
    <w:p>
      <w:pPr>
        <w:pStyle w:val="0"/>
        <w:jc w:val="right"/>
      </w:pPr>
      <w:r>
        <w:rPr>
          <w:sz w:val="24"/>
        </w:rPr>
        <w:t xml:space="preserve">и теплопотребляющих установок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w:t>
            </w:r>
            <w:hyperlink w:history="0" r:id="rId88" w:tooltip="Постановление Правительства РФ от 04.12.2024 N 1711 &quot;О внесении изменений в постановление Правительства Российской Федерации от 30 января 2021 г. N 85&quot; {КонсультантПлюс}">
              <w:r>
                <w:rPr>
                  <w:sz w:val="24"/>
                  <w:color w:val="0000ff"/>
                </w:rPr>
                <w:t xml:space="preserve">Постановления</w:t>
              </w:r>
            </w:hyperlink>
            <w:r>
              <w:rPr>
                <w:sz w:val="24"/>
                <w:color w:val="392c69"/>
              </w:rPr>
              <w:t xml:space="preserve"> Правительства РФ от 04.12.2024 N 1711)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tbl>
      <w:tblPr>
        <w:tblInd w:w="0" w:type="dxa"/>
        <w:tblLayout w:type="fixed"/>
        <w:tblCellMar>
          <w:top w:w="102" w:type="dxa"/>
          <w:left w:w="62" w:type="dxa"/>
          <w:bottom w:w="102" w:type="dxa"/>
          <w:right w:w="62" w:type="dxa"/>
        </w:tblCellMar>
      </w:tblPr>
      <w:tblGrid>
        <w:gridCol w:w="1587"/>
        <w:gridCol w:w="340"/>
        <w:gridCol w:w="2098"/>
        <w:gridCol w:w="340"/>
        <w:gridCol w:w="340"/>
        <w:gridCol w:w="790"/>
        <w:gridCol w:w="3572"/>
      </w:tblGrid>
      <w:tr>
        <w:tc>
          <w:tcPr>
            <w:gridSpan w:val="5"/>
            <w:tcW w:w="4705" w:type="dxa"/>
            <w:tcBorders>
              <w:top w:val="nil"/>
              <w:left w:val="nil"/>
              <w:bottom w:val="nil"/>
              <w:right w:val="nil"/>
            </w:tcBorders>
          </w:tcPr>
          <w:p>
            <w:pPr>
              <w:pStyle w:val="0"/>
            </w:pPr>
            <w:r>
              <w:rPr>
                <w:sz w:val="24"/>
              </w:rPr>
            </w:r>
          </w:p>
        </w:tc>
        <w:tc>
          <w:tcPr>
            <w:gridSpan w:val="2"/>
            <w:tcW w:w="4362" w:type="dxa"/>
            <w:tcBorders>
              <w:top w:val="nil"/>
              <w:left w:val="nil"/>
              <w:bottom w:val="nil"/>
              <w:right w:val="nil"/>
            </w:tcBorders>
          </w:tcPr>
          <w:p>
            <w:pPr>
              <w:pStyle w:val="0"/>
              <w:jc w:val="right"/>
            </w:pPr>
            <w:r>
              <w:rPr>
                <w:sz w:val="24"/>
              </w:rPr>
              <w:t xml:space="preserve">(На бланке органа федерального государственного энергетического надзора)</w:t>
            </w:r>
          </w:p>
        </w:tc>
      </w:tr>
      <w:tr>
        <w:tc>
          <w:tcPr>
            <w:gridSpan w:val="3"/>
            <w:tcW w:w="4025" w:type="dxa"/>
            <w:vAlign w:val="bottom"/>
            <w:tcBorders>
              <w:top w:val="nil"/>
              <w:left w:val="nil"/>
              <w:bottom w:val="nil"/>
              <w:right w:val="nil"/>
            </w:tcBorders>
          </w:tcPr>
          <w:p>
            <w:pPr>
              <w:pStyle w:val="0"/>
              <w:jc w:val="center"/>
            </w:pPr>
            <w:r>
              <w:rPr>
                <w:sz w:val="24"/>
              </w:rPr>
              <w:t xml:space="preserve">УТВЕРЖДАЮ</w:t>
            </w:r>
          </w:p>
        </w:tc>
        <w:tc>
          <w:tcPr>
            <w:tcW w:w="340"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4362" w:type="dxa"/>
            <w:tcBorders>
              <w:top w:val="nil"/>
              <w:left w:val="nil"/>
              <w:bottom w:val="single" w:sz="4"/>
              <w:right w:val="nil"/>
            </w:tcBorders>
          </w:tcPr>
          <w:p>
            <w:pPr>
              <w:pStyle w:val="0"/>
            </w:pPr>
            <w:r>
              <w:rPr>
                <w:sz w:val="24"/>
              </w:rPr>
            </w:r>
          </w:p>
        </w:tc>
      </w:tr>
      <w:tr>
        <w:tc>
          <w:tcPr>
            <w:gridSpan w:val="3"/>
            <w:tcW w:w="4025"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4362" w:type="dxa"/>
            <w:tcBorders>
              <w:top w:val="single" w:sz="4"/>
              <w:left w:val="nil"/>
              <w:bottom w:val="nil"/>
              <w:right w:val="nil"/>
            </w:tcBorders>
          </w:tcPr>
          <w:p>
            <w:pPr>
              <w:pStyle w:val="0"/>
              <w:jc w:val="center"/>
            </w:pPr>
            <w:r>
              <w:rPr>
                <w:sz w:val="24"/>
              </w:rPr>
              <w:t xml:space="preserve">(наименование организации) </w:t>
            </w:r>
            <w:hyperlink w:history="0" w:anchor="P711" w:tooltip="&lt;1&gt; Для юридических лиц (для индивидуальных предпринимателей указывается ф.и.о. индивидуального предпринимателя).">
              <w:r>
                <w:rPr>
                  <w:sz w:val="24"/>
                  <w:color w:val="0000ff"/>
                </w:rPr>
                <w:t xml:space="preserve">&lt;1&gt;</w:t>
              </w:r>
            </w:hyperlink>
          </w:p>
        </w:tc>
      </w:tr>
      <w:tr>
        <w:tc>
          <w:tcPr>
            <w:gridSpan w:val="3"/>
            <w:tcW w:w="402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4362" w:type="dxa"/>
            <w:tcBorders>
              <w:top w:val="nil"/>
              <w:left w:val="nil"/>
              <w:bottom w:val="single" w:sz="4"/>
              <w:right w:val="nil"/>
            </w:tcBorders>
          </w:tcPr>
          <w:p>
            <w:pPr>
              <w:pStyle w:val="0"/>
            </w:pPr>
            <w:r>
              <w:rPr>
                <w:sz w:val="24"/>
              </w:rPr>
            </w:r>
          </w:p>
        </w:tc>
      </w:tr>
      <w:tr>
        <w:tc>
          <w:tcPr>
            <w:gridSpan w:val="3"/>
            <w:tcW w:w="4025" w:type="dxa"/>
            <w:vAlign w:val="bottom"/>
            <w:tcBorders>
              <w:top w:val="single" w:sz="4"/>
              <w:left w:val="nil"/>
              <w:bottom w:val="nil"/>
              <w:right w:val="nil"/>
            </w:tcBorders>
          </w:tcPr>
          <w:p>
            <w:pPr>
              <w:pStyle w:val="0"/>
              <w:jc w:val="center"/>
            </w:pPr>
            <w:r>
              <w:rPr>
                <w:sz w:val="24"/>
              </w:rPr>
              <w:t xml:space="preserve">(должность)</w:t>
            </w:r>
          </w:p>
        </w:tc>
        <w:tc>
          <w:tcPr>
            <w:tcW w:w="340"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4362" w:type="dxa"/>
            <w:vAlign w:val="bottom"/>
            <w:tcBorders>
              <w:top w:val="single" w:sz="4"/>
              <w:left w:val="nil"/>
              <w:bottom w:val="nil"/>
              <w:right w:val="nil"/>
            </w:tcBorders>
          </w:tcPr>
          <w:p>
            <w:pPr>
              <w:pStyle w:val="0"/>
              <w:jc w:val="center"/>
            </w:pPr>
            <w:r>
              <w:rPr>
                <w:sz w:val="24"/>
              </w:rPr>
              <w:t xml:space="preserve">(должность, ф.и.о. руководителя) </w:t>
            </w:r>
            <w:hyperlink w:history="0" w:anchor="P711" w:tooltip="&lt;1&gt; Для юридических лиц (для индивидуальных предпринимателей указывается ф.и.о. индивидуального предпринимателя).">
              <w:r>
                <w:rPr>
                  <w:sz w:val="24"/>
                  <w:color w:val="0000ff"/>
                </w:rPr>
                <w:t xml:space="preserve">&lt;1&gt;</w:t>
              </w:r>
            </w:hyperlink>
          </w:p>
        </w:tc>
      </w:tr>
      <w:tr>
        <w:tc>
          <w:tcPr>
            <w:tcW w:w="1587"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t xml:space="preserve">/</w:t>
            </w:r>
          </w:p>
        </w:tc>
        <w:tc>
          <w:tcPr>
            <w:tcW w:w="2098"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t xml:space="preserve">/</w:t>
            </w:r>
          </w:p>
        </w:tc>
        <w:tc>
          <w:tcPr>
            <w:tcW w:w="340" w:type="dxa"/>
            <w:tcBorders>
              <w:top w:val="nil"/>
              <w:left w:val="nil"/>
              <w:bottom w:val="nil"/>
              <w:right w:val="nil"/>
            </w:tcBorders>
          </w:tcPr>
          <w:p>
            <w:pPr>
              <w:pStyle w:val="0"/>
            </w:pPr>
            <w:r>
              <w:rPr>
                <w:sz w:val="24"/>
              </w:rPr>
            </w:r>
          </w:p>
        </w:tc>
        <w:tc>
          <w:tcPr>
            <w:gridSpan w:val="2"/>
            <w:tcW w:w="4362" w:type="dxa"/>
            <w:tcBorders>
              <w:top w:val="nil"/>
              <w:left w:val="nil"/>
              <w:bottom w:val="single" w:sz="4"/>
              <w:right w:val="nil"/>
            </w:tcBorders>
          </w:tcPr>
          <w:p>
            <w:pPr>
              <w:pStyle w:val="0"/>
            </w:pPr>
            <w:r>
              <w:rPr>
                <w:sz w:val="24"/>
              </w:rPr>
            </w:r>
          </w:p>
        </w:tc>
      </w:tr>
      <w:tr>
        <w:tc>
          <w:tcPr>
            <w:tcW w:w="1587" w:type="dxa"/>
            <w:tcBorders>
              <w:top w:val="single" w:sz="4"/>
              <w:left w:val="nil"/>
              <w:bottom w:val="nil"/>
              <w:right w:val="nil"/>
            </w:tcBorders>
          </w:tcPr>
          <w:p>
            <w:pPr>
              <w:pStyle w:val="0"/>
              <w:jc w:val="center"/>
            </w:pPr>
            <w:r>
              <w:rPr>
                <w:sz w:val="24"/>
              </w:rPr>
              <w:t xml:space="preserve">(подпись)</w:t>
            </w:r>
          </w:p>
        </w:tc>
        <w:tc>
          <w:tcPr>
            <w:tcW w:w="340" w:type="dxa"/>
            <w:tcBorders>
              <w:top w:val="nil"/>
              <w:left w:val="nil"/>
              <w:bottom w:val="nil"/>
              <w:right w:val="nil"/>
            </w:tcBorders>
          </w:tcPr>
          <w:p>
            <w:pPr>
              <w:pStyle w:val="0"/>
            </w:pPr>
            <w:r>
              <w:rPr>
                <w:sz w:val="24"/>
              </w:rPr>
            </w:r>
          </w:p>
        </w:tc>
        <w:tc>
          <w:tcPr>
            <w:tcW w:w="2098" w:type="dxa"/>
            <w:tcBorders>
              <w:top w:val="single" w:sz="4"/>
              <w:left w:val="nil"/>
              <w:bottom w:val="nil"/>
              <w:right w:val="nil"/>
            </w:tcBorders>
          </w:tcPr>
          <w:p>
            <w:pPr>
              <w:pStyle w:val="0"/>
              <w:jc w:val="center"/>
            </w:pPr>
            <w:r>
              <w:rPr>
                <w:sz w:val="24"/>
              </w:rPr>
              <w:t xml:space="preserve">(ф.и.о.)</w:t>
            </w:r>
          </w:p>
        </w:tc>
        <w:tc>
          <w:tcPr>
            <w:tcW w:w="340"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4362" w:type="dxa"/>
            <w:tcBorders>
              <w:top w:val="single" w:sz="4"/>
              <w:left w:val="nil"/>
              <w:bottom w:val="nil"/>
              <w:right w:val="nil"/>
            </w:tcBorders>
          </w:tcPr>
          <w:p>
            <w:pPr>
              <w:pStyle w:val="0"/>
              <w:jc w:val="center"/>
            </w:pPr>
            <w:r>
              <w:rPr>
                <w:sz w:val="24"/>
              </w:rPr>
              <w:t xml:space="preserve">(место нахождения и адрес, телефон) </w:t>
            </w:r>
            <w:hyperlink w:history="0" w:anchor="P711" w:tooltip="&lt;1&gt; Для юридических лиц (для индивидуальных предпринимателей указывается ф.и.о. индивидуального предпринимателя).">
              <w:r>
                <w:rPr>
                  <w:sz w:val="24"/>
                  <w:color w:val="0000ff"/>
                </w:rPr>
                <w:t xml:space="preserve">&lt;1&gt;</w:t>
              </w:r>
            </w:hyperlink>
          </w:p>
        </w:tc>
      </w:tr>
      <w:tr>
        <w:tc>
          <w:tcPr>
            <w:tcW w:w="1587"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098"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4362" w:type="dxa"/>
            <w:tcBorders>
              <w:top w:val="nil"/>
              <w:left w:val="nil"/>
              <w:bottom w:val="single" w:sz="4"/>
              <w:right w:val="nil"/>
            </w:tcBorders>
          </w:tcPr>
          <w:p>
            <w:pPr>
              <w:pStyle w:val="0"/>
            </w:pPr>
            <w:r>
              <w:rPr>
                <w:sz w:val="24"/>
              </w:rPr>
            </w:r>
          </w:p>
        </w:tc>
      </w:tr>
      <w:tr>
        <w:tc>
          <w:tcPr>
            <w:gridSpan w:val="3"/>
            <w:tcW w:w="4025" w:type="dxa"/>
            <w:tcBorders>
              <w:top w:val="nil"/>
              <w:left w:val="nil"/>
              <w:bottom w:val="nil"/>
              <w:right w:val="nil"/>
            </w:tcBorders>
          </w:tcPr>
          <w:p>
            <w:pPr>
              <w:pStyle w:val="0"/>
              <w:jc w:val="center"/>
            </w:pPr>
            <w:r>
              <w:rPr>
                <w:sz w:val="24"/>
              </w:rPr>
              <w:t xml:space="preserve">"__" _____________ 20__ г.</w:t>
            </w:r>
          </w:p>
        </w:tc>
        <w:tc>
          <w:tcPr>
            <w:tcW w:w="340" w:type="dxa"/>
            <w:tcBorders>
              <w:top w:val="nil"/>
              <w:left w:val="nil"/>
              <w:bottom w:val="nil"/>
              <w:right w:val="nil"/>
            </w:tcBorders>
          </w:tcPr>
          <w:p>
            <w:pPr>
              <w:pStyle w:val="0"/>
            </w:pPr>
            <w:r>
              <w:rPr>
                <w:sz w:val="24"/>
              </w:rPr>
            </w:r>
          </w:p>
        </w:tc>
        <w:tc>
          <w:tcPr>
            <w:tcW w:w="340" w:type="dxa"/>
            <w:vAlign w:val="bottom"/>
            <w:tcBorders>
              <w:top w:val="nil"/>
              <w:left w:val="nil"/>
              <w:bottom w:val="nil"/>
              <w:right w:val="nil"/>
            </w:tcBorders>
          </w:tcPr>
          <w:p>
            <w:pPr>
              <w:pStyle w:val="0"/>
            </w:pPr>
            <w:r>
              <w:rPr>
                <w:sz w:val="24"/>
              </w:rPr>
            </w:r>
          </w:p>
        </w:tc>
        <w:tc>
          <w:tcPr>
            <w:gridSpan w:val="2"/>
            <w:tcW w:w="4362" w:type="dxa"/>
            <w:vAlign w:val="bottom"/>
            <w:tcBorders>
              <w:top w:val="single" w:sz="4"/>
              <w:left w:val="nil"/>
              <w:bottom w:val="nil"/>
              <w:right w:val="nil"/>
            </w:tcBorders>
          </w:tcPr>
          <w:p>
            <w:pPr>
              <w:pStyle w:val="0"/>
              <w:jc w:val="center"/>
            </w:pPr>
            <w:r>
              <w:rPr>
                <w:sz w:val="24"/>
              </w:rPr>
              <w:t xml:space="preserve">(ф.и.о.) </w:t>
            </w:r>
            <w:hyperlink w:history="0" w:anchor="P712" w:tooltip="&lt;2&gt; Для физических лиц.">
              <w:r>
                <w:rPr>
                  <w:sz w:val="24"/>
                  <w:color w:val="0000ff"/>
                </w:rPr>
                <w:t xml:space="preserve">&lt;2&gt;</w:t>
              </w:r>
            </w:hyperlink>
          </w:p>
        </w:tc>
      </w:tr>
      <w:tr>
        <w:tc>
          <w:tcPr>
            <w:gridSpan w:val="3"/>
            <w:tcW w:w="4025" w:type="dxa"/>
            <w:tcBorders>
              <w:top w:val="nil"/>
              <w:left w:val="nil"/>
              <w:bottom w:val="nil"/>
              <w:right w:val="nil"/>
            </w:tcBorders>
          </w:tcPr>
          <w:p>
            <w:pPr>
              <w:pStyle w:val="0"/>
              <w:jc w:val="right"/>
            </w:pPr>
            <w:r>
              <w:rPr>
                <w:sz w:val="24"/>
              </w:rPr>
              <w:t xml:space="preserve">М.П.</w:t>
            </w:r>
          </w:p>
        </w:tc>
        <w:tc>
          <w:tcPr>
            <w:tcW w:w="340"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790" w:type="dxa"/>
            <w:tcBorders>
              <w:top w:val="nil"/>
              <w:left w:val="nil"/>
              <w:bottom w:val="nil"/>
              <w:right w:val="nil"/>
            </w:tcBorders>
          </w:tcPr>
          <w:p>
            <w:pPr>
              <w:pStyle w:val="0"/>
            </w:pPr>
            <w:r>
              <w:rPr>
                <w:sz w:val="24"/>
              </w:rPr>
              <w:t xml:space="preserve">ИНН</w:t>
            </w:r>
          </w:p>
        </w:tc>
        <w:tc>
          <w:tcPr>
            <w:tcW w:w="3572" w:type="dxa"/>
            <w:tcBorders>
              <w:top w:val="nil"/>
              <w:left w:val="nil"/>
              <w:bottom w:val="single" w:sz="4"/>
              <w:right w:val="nil"/>
            </w:tcBorders>
          </w:tcPr>
          <w:p>
            <w:pPr>
              <w:pStyle w:val="0"/>
            </w:pPr>
            <w:r>
              <w:rPr>
                <w:sz w:val="24"/>
              </w:rPr>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9066"/>
      </w:tblGrid>
      <w:tr>
        <w:tc>
          <w:tcPr>
            <w:tcW w:w="9066" w:type="dxa"/>
            <w:tcBorders>
              <w:top w:val="nil"/>
              <w:left w:val="nil"/>
              <w:bottom w:val="nil"/>
              <w:right w:val="nil"/>
            </w:tcBorders>
          </w:tcPr>
          <w:bookmarkStart w:id="601" w:name="P601"/>
          <w:bookmarkEnd w:id="601"/>
          <w:p>
            <w:pPr>
              <w:pStyle w:val="0"/>
              <w:jc w:val="center"/>
            </w:pPr>
            <w:r>
              <w:rPr>
                <w:sz w:val="24"/>
              </w:rPr>
              <w:t xml:space="preserve">АКТ</w:t>
            </w:r>
          </w:p>
          <w:p>
            <w:pPr>
              <w:pStyle w:val="0"/>
              <w:jc w:val="center"/>
            </w:pPr>
            <w:r>
              <w:rPr>
                <w:sz w:val="24"/>
              </w:rPr>
              <w:t xml:space="preserve">осмотра энергопринимающей установки (объекта по производству электрической энергии, объекта электросетевого хозяйства, объекта теплоснабжения, теплопотребляющей установки) </w:t>
            </w:r>
            <w:hyperlink w:history="0" w:anchor="P713" w:tooltip="&lt;3&gt; Подчеркивается вид объекта, допускаемого в эксплуатацию.">
              <w:r>
                <w:rPr>
                  <w:sz w:val="24"/>
                  <w:color w:val="0000ff"/>
                </w:rPr>
                <w:t xml:space="preserve">&lt;3&gt;</w:t>
              </w:r>
            </w:hyperlink>
          </w:p>
        </w:tc>
      </w:tr>
    </w:tbl>
    <w:p>
      <w:pPr>
        <w:pStyle w:val="0"/>
        <w:jc w:val="both"/>
      </w:pPr>
      <w:r>
        <w:rPr>
          <w:sz w:val="24"/>
        </w:rPr>
      </w:r>
    </w:p>
    <w:tbl>
      <w:tblPr>
        <w:tblInd w:w="0" w:type="dxa"/>
        <w:tblLayout w:type="fixed"/>
        <w:tblCellMar>
          <w:top w:w="102" w:type="dxa"/>
          <w:left w:w="62" w:type="dxa"/>
          <w:bottom w:w="102" w:type="dxa"/>
          <w:right w:w="62" w:type="dxa"/>
        </w:tblCellMar>
      </w:tblPr>
      <w:tblGrid>
        <w:gridCol w:w="9066"/>
      </w:tblGrid>
      <w:tr>
        <w:tc>
          <w:tcPr>
            <w:tcW w:w="9066" w:type="dxa"/>
            <w:tcBorders>
              <w:top w:val="nil"/>
              <w:left w:val="nil"/>
              <w:bottom w:val="nil"/>
              <w:right w:val="nil"/>
            </w:tcBorders>
          </w:tcPr>
          <w:p>
            <w:pPr>
              <w:pStyle w:val="0"/>
              <w:jc w:val="center"/>
            </w:pPr>
            <w:r>
              <w:rPr>
                <w:sz w:val="24"/>
              </w:rPr>
              <w:t xml:space="preserve">N ____________ от "__" ______________ 20__ г.</w:t>
            </w:r>
          </w:p>
        </w:tc>
      </w:tr>
      <w:tr>
        <w:tc>
          <w:tcPr>
            <w:tcW w:w="9066" w:type="dxa"/>
            <w:tcBorders>
              <w:top w:val="nil"/>
              <w:left w:val="nil"/>
              <w:bottom w:val="single" w:sz="4"/>
              <w:right w:val="nil"/>
            </w:tcBorders>
          </w:tcPr>
          <w:p>
            <w:pPr>
              <w:pStyle w:val="0"/>
            </w:pPr>
            <w:r>
              <w:rPr>
                <w:sz w:val="24"/>
              </w:rPr>
            </w:r>
          </w:p>
        </w:tc>
      </w:tr>
      <w:tr>
        <w:tblPrEx>
          <w:tblBorders>
            <w:insideH w:val="single" w:sz="4"/>
          </w:tblBorders>
        </w:tblPrEx>
        <w:tc>
          <w:tcPr>
            <w:tcW w:w="9066" w:type="dxa"/>
            <w:tcBorders>
              <w:top w:val="single" w:sz="4"/>
              <w:left w:val="nil"/>
              <w:bottom w:val="nil"/>
              <w:right w:val="nil"/>
            </w:tcBorders>
          </w:tcPr>
          <w:p>
            <w:pPr>
              <w:pStyle w:val="0"/>
              <w:jc w:val="center"/>
            </w:pPr>
            <w:r>
              <w:rPr>
                <w:sz w:val="24"/>
              </w:rPr>
              <w:t xml:space="preserve">(наименование объекта заявителя, почтовый адрес)</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1487"/>
        <w:gridCol w:w="672"/>
        <w:gridCol w:w="2206"/>
        <w:gridCol w:w="340"/>
        <w:gridCol w:w="1361"/>
        <w:gridCol w:w="3005"/>
      </w:tblGrid>
      <w:tr>
        <w:tc>
          <w:tcPr>
            <w:gridSpan w:val="2"/>
            <w:tcW w:w="2159" w:type="dxa"/>
            <w:tcBorders>
              <w:top w:val="nil"/>
              <w:left w:val="nil"/>
              <w:bottom w:val="nil"/>
              <w:right w:val="nil"/>
            </w:tcBorders>
          </w:tcPr>
          <w:p>
            <w:pPr>
              <w:pStyle w:val="0"/>
              <w:ind w:firstLine="283"/>
              <w:jc w:val="both"/>
            </w:pPr>
            <w:r>
              <w:rPr>
                <w:sz w:val="24"/>
              </w:rPr>
              <w:t xml:space="preserve">Акт составлен</w:t>
            </w:r>
          </w:p>
        </w:tc>
        <w:tc>
          <w:tcPr>
            <w:gridSpan w:val="4"/>
            <w:tcW w:w="6912" w:type="dxa"/>
            <w:tcBorders>
              <w:top w:val="nil"/>
              <w:left w:val="nil"/>
              <w:bottom w:val="single" w:sz="4"/>
              <w:right w:val="nil"/>
            </w:tcBorders>
          </w:tcPr>
          <w:p>
            <w:pPr>
              <w:pStyle w:val="0"/>
            </w:pPr>
            <w:r>
              <w:rPr>
                <w:sz w:val="24"/>
              </w:rPr>
            </w:r>
          </w:p>
        </w:tc>
      </w:tr>
      <w:tr>
        <w:tc>
          <w:tcPr>
            <w:gridSpan w:val="2"/>
            <w:tcW w:w="2159" w:type="dxa"/>
            <w:tcBorders>
              <w:top w:val="nil"/>
              <w:left w:val="nil"/>
              <w:bottom w:val="nil"/>
              <w:right w:val="nil"/>
            </w:tcBorders>
          </w:tcPr>
          <w:p>
            <w:pPr>
              <w:pStyle w:val="0"/>
            </w:pPr>
            <w:r>
              <w:rPr>
                <w:sz w:val="24"/>
              </w:rPr>
            </w:r>
          </w:p>
        </w:tc>
        <w:tc>
          <w:tcPr>
            <w:gridSpan w:val="4"/>
            <w:tcW w:w="6912" w:type="dxa"/>
            <w:tcBorders>
              <w:top w:val="single" w:sz="4"/>
              <w:left w:val="nil"/>
              <w:bottom w:val="nil"/>
              <w:right w:val="nil"/>
            </w:tcBorders>
          </w:tcPr>
          <w:p>
            <w:pPr>
              <w:pStyle w:val="0"/>
              <w:jc w:val="center"/>
            </w:pPr>
            <w:r>
              <w:rPr>
                <w:sz w:val="24"/>
              </w:rPr>
              <w:t xml:space="preserve">(должностные лица органа федерального государственного энергетического надзора)</w:t>
            </w:r>
          </w:p>
        </w:tc>
      </w:tr>
      <w:tr>
        <w:tc>
          <w:tcPr>
            <w:gridSpan w:val="6"/>
            <w:tcW w:w="9071" w:type="dxa"/>
            <w:tcBorders>
              <w:top w:val="nil"/>
              <w:left w:val="nil"/>
              <w:bottom w:val="single" w:sz="4"/>
              <w:right w:val="nil"/>
            </w:tcBorders>
          </w:tcPr>
          <w:p>
            <w:pPr>
              <w:pStyle w:val="0"/>
            </w:pPr>
            <w:r>
              <w:rPr>
                <w:sz w:val="24"/>
              </w:rPr>
            </w:r>
          </w:p>
        </w:tc>
      </w:tr>
      <w:tr>
        <w:tc>
          <w:tcPr>
            <w:gridSpan w:val="6"/>
            <w:tcW w:w="9071" w:type="dxa"/>
            <w:tcBorders>
              <w:top w:val="single" w:sz="4"/>
              <w:left w:val="nil"/>
              <w:bottom w:val="nil"/>
              <w:right w:val="nil"/>
            </w:tcBorders>
          </w:tcPr>
          <w:p>
            <w:pPr>
              <w:pStyle w:val="0"/>
              <w:jc w:val="center"/>
            </w:pPr>
            <w:r>
              <w:rPr>
                <w:sz w:val="24"/>
              </w:rPr>
              <w:t xml:space="preserve">(ф.и.о., номер телефона, наименование организации, адрес)</w:t>
            </w:r>
          </w:p>
        </w:tc>
      </w:tr>
      <w:tr>
        <w:tc>
          <w:tcPr>
            <w:gridSpan w:val="6"/>
            <w:tcW w:w="9071" w:type="dxa"/>
            <w:tcBorders>
              <w:top w:val="nil"/>
              <w:left w:val="nil"/>
              <w:bottom w:val="single" w:sz="4"/>
              <w:right w:val="nil"/>
            </w:tcBorders>
          </w:tcPr>
          <w:p>
            <w:pPr>
              <w:pStyle w:val="0"/>
            </w:pPr>
            <w:r>
              <w:rPr>
                <w:sz w:val="24"/>
              </w:rPr>
            </w:r>
          </w:p>
        </w:tc>
      </w:tr>
      <w:tr>
        <w:tblPrEx>
          <w:tblBorders>
            <w:insideH w:val="single" w:sz="4"/>
          </w:tblBorders>
        </w:tblPrEx>
        <w:tc>
          <w:tcPr>
            <w:gridSpan w:val="5"/>
            <w:tcW w:w="6066" w:type="dxa"/>
            <w:tcBorders>
              <w:top w:val="single" w:sz="4"/>
              <w:left w:val="nil"/>
              <w:bottom w:val="nil"/>
              <w:right w:val="nil"/>
            </w:tcBorders>
          </w:tcPr>
          <w:p>
            <w:pPr>
              <w:pStyle w:val="0"/>
            </w:pPr>
            <w:r>
              <w:rPr>
                <w:sz w:val="24"/>
              </w:rPr>
              <w:t xml:space="preserve">в присутствии заявителя (представителя заявителя)</w:t>
            </w:r>
          </w:p>
        </w:tc>
        <w:tc>
          <w:tcPr>
            <w:tcW w:w="3005" w:type="dxa"/>
            <w:tcBorders>
              <w:top w:val="single" w:sz="4"/>
              <w:left w:val="nil"/>
              <w:bottom w:val="single" w:sz="4"/>
              <w:right w:val="nil"/>
            </w:tcBorders>
          </w:tcPr>
          <w:p>
            <w:pPr>
              <w:pStyle w:val="0"/>
            </w:pPr>
            <w:r>
              <w:rPr>
                <w:sz w:val="24"/>
              </w:rPr>
            </w:r>
          </w:p>
        </w:tc>
      </w:tr>
      <w:tr>
        <w:tc>
          <w:tcPr>
            <w:gridSpan w:val="6"/>
            <w:tcW w:w="9071" w:type="dxa"/>
            <w:tcBorders>
              <w:top w:val="nil"/>
              <w:left w:val="nil"/>
              <w:bottom w:val="single" w:sz="4"/>
              <w:right w:val="nil"/>
            </w:tcBorders>
          </w:tcPr>
          <w:p>
            <w:pPr>
              <w:pStyle w:val="0"/>
            </w:pPr>
            <w:r>
              <w:rPr>
                <w:sz w:val="24"/>
              </w:rPr>
            </w:r>
          </w:p>
        </w:tc>
      </w:tr>
      <w:tr>
        <w:tc>
          <w:tcPr>
            <w:gridSpan w:val="6"/>
            <w:tcW w:w="9071" w:type="dxa"/>
            <w:tcBorders>
              <w:top w:val="single" w:sz="4"/>
              <w:left w:val="nil"/>
              <w:bottom w:val="nil"/>
              <w:right w:val="nil"/>
            </w:tcBorders>
          </w:tcPr>
          <w:p>
            <w:pPr>
              <w:pStyle w:val="0"/>
              <w:jc w:val="center"/>
            </w:pPr>
            <w:r>
              <w:rPr>
                <w:sz w:val="24"/>
              </w:rPr>
              <w:t xml:space="preserve">(наименование организации, ф.и.о., номер телефона)</w:t>
            </w:r>
          </w:p>
        </w:tc>
      </w:tr>
      <w:tr>
        <w:tc>
          <w:tcPr>
            <w:gridSpan w:val="6"/>
            <w:tcW w:w="9071" w:type="dxa"/>
            <w:tcBorders>
              <w:top w:val="nil"/>
              <w:left w:val="nil"/>
              <w:bottom w:val="nil"/>
              <w:right w:val="nil"/>
            </w:tcBorders>
          </w:tcPr>
          <w:p>
            <w:pPr>
              <w:pStyle w:val="0"/>
              <w:jc w:val="both"/>
            </w:pPr>
            <w:r>
              <w:rPr>
                <w:sz w:val="24"/>
              </w:rPr>
              <w:t xml:space="preserve">в том, что с "__" _____________ 20__ г. по "__" ____________ 20__ г. проведен осмотр допускаемого объекта заявителя и проверка представленной заявителем документации.</w:t>
            </w:r>
          </w:p>
        </w:tc>
      </w:tr>
      <w:tr>
        <w:tc>
          <w:tcPr>
            <w:gridSpan w:val="6"/>
            <w:tcW w:w="9071" w:type="dxa"/>
            <w:tcBorders>
              <w:top w:val="nil"/>
              <w:left w:val="nil"/>
              <w:bottom w:val="nil"/>
              <w:right w:val="nil"/>
            </w:tcBorders>
          </w:tcPr>
          <w:p>
            <w:pPr>
              <w:pStyle w:val="0"/>
              <w:ind w:firstLine="283"/>
              <w:jc w:val="both"/>
            </w:pPr>
            <w:r>
              <w:rPr>
                <w:sz w:val="24"/>
              </w:rPr>
              <w:t xml:space="preserve">В результате установлено:</w:t>
            </w:r>
          </w:p>
        </w:tc>
      </w:tr>
      <w:tr>
        <w:tc>
          <w:tcPr>
            <w:gridSpan w:val="5"/>
            <w:tcW w:w="6066" w:type="dxa"/>
            <w:tcBorders>
              <w:top w:val="nil"/>
              <w:left w:val="nil"/>
              <w:bottom w:val="nil"/>
              <w:right w:val="nil"/>
            </w:tcBorders>
          </w:tcPr>
          <w:bookmarkStart w:id="621" w:name="P621"/>
          <w:bookmarkEnd w:id="621"/>
          <w:p>
            <w:pPr>
              <w:pStyle w:val="0"/>
              <w:ind w:firstLine="283"/>
              <w:jc w:val="both"/>
            </w:pPr>
            <w:r>
              <w:rPr>
                <w:sz w:val="24"/>
              </w:rPr>
              <w:t xml:space="preserve">1. К осмотру предъявлен допускаемый объект </w:t>
            </w:r>
            <w:hyperlink w:history="0" w:anchor="P714" w:tooltip="&lt;4&gt; Указывается наименование допускаемого объекта, в том числе диспетчерское.">
              <w:r>
                <w:rPr>
                  <w:sz w:val="24"/>
                  <w:color w:val="0000ff"/>
                </w:rPr>
                <w:t xml:space="preserve">&lt;4&gt;</w:t>
              </w:r>
            </w:hyperlink>
          </w:p>
        </w:tc>
        <w:tc>
          <w:tcPr>
            <w:tcW w:w="3005" w:type="dxa"/>
            <w:tcBorders>
              <w:top w:val="nil"/>
              <w:left w:val="nil"/>
              <w:bottom w:val="single" w:sz="4"/>
              <w:right w:val="nil"/>
            </w:tcBorders>
          </w:tcPr>
          <w:p>
            <w:pPr>
              <w:pStyle w:val="0"/>
            </w:pPr>
            <w:r>
              <w:rPr>
                <w:sz w:val="24"/>
              </w:rPr>
            </w:r>
          </w:p>
        </w:tc>
      </w:tr>
      <w:tr>
        <w:tc>
          <w:tcPr>
            <w:gridSpan w:val="6"/>
            <w:tcW w:w="9071" w:type="dxa"/>
            <w:tcBorders>
              <w:top w:val="nil"/>
              <w:left w:val="nil"/>
              <w:bottom w:val="nil"/>
              <w:right w:val="nil"/>
            </w:tcBorders>
          </w:tcPr>
          <w:p>
            <w:pPr>
              <w:pStyle w:val="0"/>
            </w:pPr>
            <w:r>
              <w:rPr>
                <w:sz w:val="24"/>
              </w:rPr>
              <w:t xml:space="preserve">в составе следующего оборудования </w:t>
            </w:r>
            <w:hyperlink w:history="0" w:anchor="P715" w:tooltip="&lt;5&gt; Указывается перечень осмотренного оборудования допускаемого объекта с указанием типа, максимальной мощности, напряжения, скорости вращения, рабочего давления, температуры, вместимости сосудов, протяженности кабельных и воздушных линий электропередачи, тепловых сетей, количества опор, марки и сечения кабеля (провода), диаметра трубопроводов.">
              <w:r>
                <w:rPr>
                  <w:sz w:val="24"/>
                  <w:color w:val="0000ff"/>
                </w:rPr>
                <w:t xml:space="preserve">&lt;5&gt;</w:t>
              </w:r>
            </w:hyperlink>
            <w:r>
              <w:rPr>
                <w:sz w:val="24"/>
              </w:rPr>
              <w:t xml:space="preserve">:</w:t>
            </w:r>
          </w:p>
        </w:tc>
      </w:tr>
      <w:tr>
        <w:tc>
          <w:tcPr>
            <w:gridSpan w:val="6"/>
            <w:tcW w:w="9071" w:type="dxa"/>
            <w:tcBorders>
              <w:top w:val="nil"/>
              <w:left w:val="nil"/>
              <w:bottom w:val="single" w:sz="4"/>
              <w:right w:val="nil"/>
            </w:tcBorders>
          </w:tcPr>
          <w:p>
            <w:pPr>
              <w:pStyle w:val="0"/>
            </w:pPr>
            <w:r>
              <w:rPr>
                <w:sz w:val="24"/>
              </w:rPr>
            </w:r>
          </w:p>
        </w:tc>
      </w:tr>
      <w:tr>
        <w:tblPrEx>
          <w:tblBorders>
            <w:insideH w:val="single" w:sz="4"/>
          </w:tblBorders>
        </w:tblPrEx>
        <w:tc>
          <w:tcPr>
            <w:gridSpan w:val="6"/>
            <w:tcW w:w="9071" w:type="dxa"/>
            <w:tcBorders>
              <w:top w:val="single" w:sz="4"/>
              <w:left w:val="nil"/>
              <w:bottom w:val="single" w:sz="4"/>
              <w:right w:val="nil"/>
            </w:tcBorders>
          </w:tcPr>
          <w:p>
            <w:pPr>
              <w:pStyle w:val="0"/>
            </w:pPr>
            <w:r>
              <w:rPr>
                <w:sz w:val="24"/>
              </w:rPr>
            </w:r>
          </w:p>
        </w:tc>
      </w:tr>
      <w:tr>
        <w:tblPrEx>
          <w:tblBorders>
            <w:insideH w:val="single" w:sz="4"/>
          </w:tblBorders>
        </w:tblPrEx>
        <w:tc>
          <w:tcPr>
            <w:gridSpan w:val="6"/>
            <w:tcW w:w="9071" w:type="dxa"/>
            <w:tcBorders>
              <w:top w:val="single" w:sz="4"/>
              <w:left w:val="nil"/>
              <w:bottom w:val="single" w:sz="4"/>
              <w:right w:val="nil"/>
            </w:tcBorders>
          </w:tcPr>
          <w:p>
            <w:pPr>
              <w:pStyle w:val="0"/>
            </w:pPr>
            <w:r>
              <w:rPr>
                <w:sz w:val="24"/>
              </w:rPr>
            </w:r>
          </w:p>
        </w:tc>
      </w:tr>
      <w:tr>
        <w:tc>
          <w:tcPr>
            <w:gridSpan w:val="6"/>
            <w:tcW w:w="9071" w:type="dxa"/>
            <w:tcBorders>
              <w:top w:val="single" w:sz="4"/>
              <w:left w:val="nil"/>
              <w:bottom w:val="nil"/>
              <w:right w:val="nil"/>
            </w:tcBorders>
          </w:tcPr>
          <w:p>
            <w:pPr>
              <w:pStyle w:val="0"/>
              <w:ind w:firstLine="283"/>
              <w:jc w:val="both"/>
            </w:pPr>
            <w:r>
              <w:rPr>
                <w:sz w:val="24"/>
              </w:rPr>
              <w:t xml:space="preserve">2. Проект разработан</w:t>
            </w:r>
          </w:p>
        </w:tc>
      </w:tr>
      <w:tr>
        <w:tc>
          <w:tcPr>
            <w:gridSpan w:val="3"/>
            <w:tcW w:w="4365"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gridSpan w:val="2"/>
            <w:tcW w:w="4366" w:type="dxa"/>
            <w:tcBorders>
              <w:top w:val="nil"/>
              <w:left w:val="nil"/>
              <w:bottom w:val="single" w:sz="4"/>
              <w:right w:val="nil"/>
            </w:tcBorders>
          </w:tcPr>
          <w:p>
            <w:pPr>
              <w:pStyle w:val="0"/>
            </w:pPr>
            <w:r>
              <w:rPr>
                <w:sz w:val="24"/>
              </w:rPr>
            </w:r>
          </w:p>
        </w:tc>
      </w:tr>
      <w:tr>
        <w:tc>
          <w:tcPr>
            <w:gridSpan w:val="3"/>
            <w:tcW w:w="4365" w:type="dxa"/>
            <w:tcBorders>
              <w:top w:val="single" w:sz="4"/>
              <w:left w:val="nil"/>
              <w:bottom w:val="nil"/>
              <w:right w:val="nil"/>
            </w:tcBorders>
          </w:tcPr>
          <w:p>
            <w:pPr>
              <w:pStyle w:val="0"/>
              <w:jc w:val="center"/>
            </w:pPr>
            <w:r>
              <w:rPr>
                <w:sz w:val="24"/>
              </w:rPr>
              <w:t xml:space="preserve">(разработчик)</w:t>
            </w:r>
          </w:p>
        </w:tc>
        <w:tc>
          <w:tcPr>
            <w:tcW w:w="340" w:type="dxa"/>
            <w:tcBorders>
              <w:top w:val="nil"/>
              <w:left w:val="nil"/>
              <w:bottom w:val="nil"/>
              <w:right w:val="nil"/>
            </w:tcBorders>
          </w:tcPr>
          <w:p>
            <w:pPr>
              <w:pStyle w:val="0"/>
            </w:pPr>
            <w:r>
              <w:rPr>
                <w:sz w:val="24"/>
              </w:rPr>
            </w:r>
          </w:p>
        </w:tc>
        <w:tc>
          <w:tcPr>
            <w:gridSpan w:val="2"/>
            <w:tcW w:w="4366" w:type="dxa"/>
            <w:tcBorders>
              <w:top w:val="single" w:sz="4"/>
              <w:left w:val="nil"/>
              <w:bottom w:val="nil"/>
              <w:right w:val="nil"/>
            </w:tcBorders>
          </w:tcPr>
          <w:p>
            <w:pPr>
              <w:pStyle w:val="0"/>
              <w:jc w:val="center"/>
            </w:pPr>
            <w:r>
              <w:rPr>
                <w:sz w:val="24"/>
              </w:rPr>
              <w:t xml:space="preserve">(наименование проекта)</w:t>
            </w:r>
          </w:p>
        </w:tc>
      </w:tr>
      <w:tr>
        <w:tc>
          <w:tcPr>
            <w:gridSpan w:val="6"/>
            <w:tcW w:w="9071" w:type="dxa"/>
            <w:tcBorders>
              <w:top w:val="nil"/>
              <w:left w:val="nil"/>
              <w:bottom w:val="nil"/>
              <w:right w:val="nil"/>
            </w:tcBorders>
          </w:tcPr>
          <w:p>
            <w:pPr>
              <w:pStyle w:val="0"/>
              <w:ind w:firstLine="283"/>
              <w:jc w:val="both"/>
            </w:pPr>
            <w:r>
              <w:rPr>
                <w:sz w:val="24"/>
              </w:rPr>
              <w:t xml:space="preserve">3. Положительное заключение экспертизы проектной документации:</w:t>
            </w:r>
          </w:p>
        </w:tc>
      </w:tr>
      <w:tr>
        <w:tc>
          <w:tcPr>
            <w:gridSpan w:val="6"/>
            <w:tcW w:w="9071" w:type="dxa"/>
            <w:tcBorders>
              <w:top w:val="nil"/>
              <w:left w:val="nil"/>
              <w:bottom w:val="single" w:sz="4"/>
              <w:right w:val="nil"/>
            </w:tcBorders>
          </w:tcPr>
          <w:p>
            <w:pPr>
              <w:pStyle w:val="0"/>
            </w:pPr>
            <w:r>
              <w:rPr>
                <w:sz w:val="24"/>
              </w:rPr>
            </w:r>
          </w:p>
        </w:tc>
      </w:tr>
      <w:tr>
        <w:tblPrEx>
          <w:tblBorders>
            <w:insideH w:val="single" w:sz="4"/>
          </w:tblBorders>
        </w:tblPrEx>
        <w:tc>
          <w:tcPr>
            <w:gridSpan w:val="6"/>
            <w:tcW w:w="9071" w:type="dxa"/>
            <w:tcBorders>
              <w:top w:val="single" w:sz="4"/>
              <w:left w:val="nil"/>
              <w:bottom w:val="single" w:sz="4"/>
              <w:right w:val="nil"/>
            </w:tcBorders>
          </w:tcPr>
          <w:p>
            <w:pPr>
              <w:pStyle w:val="0"/>
            </w:pPr>
            <w:r>
              <w:rPr>
                <w:sz w:val="24"/>
              </w:rPr>
            </w:r>
          </w:p>
        </w:tc>
      </w:tr>
      <w:tr>
        <w:tc>
          <w:tcPr>
            <w:gridSpan w:val="6"/>
            <w:tcW w:w="9071" w:type="dxa"/>
            <w:tcBorders>
              <w:top w:val="single" w:sz="4"/>
              <w:left w:val="nil"/>
              <w:bottom w:val="nil"/>
              <w:right w:val="nil"/>
            </w:tcBorders>
          </w:tcPr>
          <w:p>
            <w:pPr>
              <w:pStyle w:val="0"/>
              <w:jc w:val="center"/>
            </w:pPr>
            <w:r>
              <w:rPr>
                <w:sz w:val="24"/>
              </w:rPr>
              <w:t xml:space="preserve">(экспертная организация, дата выдачи заключения)</w:t>
            </w:r>
          </w:p>
        </w:tc>
      </w:tr>
      <w:tr>
        <w:tc>
          <w:tcPr>
            <w:gridSpan w:val="6"/>
            <w:tcW w:w="9071" w:type="dxa"/>
            <w:tcBorders>
              <w:top w:val="nil"/>
              <w:left w:val="nil"/>
              <w:bottom w:val="nil"/>
              <w:right w:val="nil"/>
            </w:tcBorders>
          </w:tcPr>
          <w:p>
            <w:pPr>
              <w:pStyle w:val="0"/>
              <w:ind w:firstLine="283"/>
              <w:jc w:val="both"/>
            </w:pPr>
            <w:r>
              <w:rPr>
                <w:sz w:val="24"/>
              </w:rPr>
              <w:t xml:space="preserve">4. Категория надежности электроснабжения </w:t>
            </w:r>
            <w:hyperlink w:history="0" w:anchor="P716" w:tooltip="&lt;6&gt; Указывается для энергопринимающих и теплопотребляющих установок потребителей электрической и тепловой энергии.">
              <w:r>
                <w:rPr>
                  <w:sz w:val="24"/>
                  <w:color w:val="0000ff"/>
                </w:rPr>
                <w:t xml:space="preserve">&lt;6&gt;</w:t>
              </w:r>
            </w:hyperlink>
            <w:r>
              <w:rPr>
                <w:sz w:val="24"/>
              </w:rPr>
              <w:t xml:space="preserve">:</w:t>
            </w:r>
          </w:p>
        </w:tc>
      </w:tr>
      <w:tr>
        <w:tc>
          <w:tcPr>
            <w:tcW w:w="1487" w:type="dxa"/>
            <w:tcBorders>
              <w:top w:val="nil"/>
              <w:left w:val="nil"/>
              <w:bottom w:val="nil"/>
              <w:right w:val="nil"/>
            </w:tcBorders>
          </w:tcPr>
          <w:p>
            <w:pPr>
              <w:pStyle w:val="0"/>
            </w:pPr>
            <w:r>
              <w:rPr>
                <w:sz w:val="24"/>
              </w:rPr>
              <w:t xml:space="preserve">по проекту:</w:t>
            </w:r>
          </w:p>
        </w:tc>
        <w:tc>
          <w:tcPr>
            <w:gridSpan w:val="2"/>
            <w:tcW w:w="2878" w:type="dxa"/>
            <w:tcBorders>
              <w:top w:val="nil"/>
              <w:left w:val="nil"/>
              <w:bottom w:val="single" w:sz="4"/>
              <w:right w:val="nil"/>
            </w:tcBorders>
          </w:tcPr>
          <w:p>
            <w:pPr>
              <w:pStyle w:val="0"/>
            </w:pPr>
            <w:r>
              <w:rPr>
                <w:sz w:val="24"/>
              </w:rPr>
            </w:r>
          </w:p>
        </w:tc>
        <w:tc>
          <w:tcPr>
            <w:gridSpan w:val="2"/>
            <w:tcW w:w="1701" w:type="dxa"/>
            <w:tcBorders>
              <w:top w:val="nil"/>
              <w:left w:val="nil"/>
              <w:bottom w:val="nil"/>
              <w:right w:val="nil"/>
            </w:tcBorders>
          </w:tcPr>
          <w:p>
            <w:pPr>
              <w:pStyle w:val="0"/>
              <w:jc w:val="center"/>
            </w:pPr>
            <w:r>
              <w:rPr>
                <w:sz w:val="24"/>
              </w:rPr>
              <w:t xml:space="preserve">фактическая</w:t>
            </w:r>
          </w:p>
        </w:tc>
        <w:tc>
          <w:tcPr>
            <w:tcW w:w="3005" w:type="dxa"/>
            <w:tcBorders>
              <w:top w:val="nil"/>
              <w:left w:val="nil"/>
              <w:bottom w:val="single" w:sz="4"/>
              <w:right w:val="nil"/>
            </w:tcBorders>
          </w:tcPr>
          <w:p>
            <w:pPr>
              <w:pStyle w:val="0"/>
            </w:pPr>
            <w:r>
              <w:rPr>
                <w:sz w:val="24"/>
              </w:rPr>
            </w:r>
          </w:p>
        </w:tc>
      </w:tr>
      <w:tr>
        <w:tc>
          <w:tcPr>
            <w:gridSpan w:val="6"/>
            <w:tcW w:w="9071" w:type="dxa"/>
            <w:tcBorders>
              <w:top w:val="nil"/>
              <w:left w:val="nil"/>
              <w:bottom w:val="nil"/>
              <w:right w:val="nil"/>
            </w:tcBorders>
          </w:tcPr>
          <w:p>
            <w:pPr>
              <w:pStyle w:val="0"/>
              <w:ind w:firstLine="283"/>
              <w:jc w:val="both"/>
            </w:pPr>
            <w:r>
              <w:rPr>
                <w:sz w:val="24"/>
              </w:rPr>
              <w:t xml:space="preserve">5. Пусконаладочные работы выполнены (выполняются):</w:t>
            </w:r>
          </w:p>
        </w:tc>
      </w:tr>
      <w:tr>
        <w:tc>
          <w:tcPr>
            <w:gridSpan w:val="6"/>
            <w:tcW w:w="9071" w:type="dxa"/>
            <w:tcBorders>
              <w:top w:val="nil"/>
              <w:left w:val="nil"/>
              <w:bottom w:val="single" w:sz="4"/>
              <w:right w:val="nil"/>
            </w:tcBorders>
          </w:tcPr>
          <w:p>
            <w:pPr>
              <w:pStyle w:val="0"/>
            </w:pPr>
            <w:r>
              <w:rPr>
                <w:sz w:val="24"/>
              </w:rPr>
            </w:r>
          </w:p>
        </w:tc>
      </w:tr>
      <w:tr>
        <w:tc>
          <w:tcPr>
            <w:gridSpan w:val="6"/>
            <w:tcW w:w="9071" w:type="dxa"/>
            <w:tcBorders>
              <w:top w:val="single" w:sz="4"/>
              <w:left w:val="nil"/>
              <w:bottom w:val="nil"/>
              <w:right w:val="nil"/>
            </w:tcBorders>
          </w:tcPr>
          <w:p>
            <w:pPr>
              <w:pStyle w:val="0"/>
              <w:jc w:val="center"/>
            </w:pPr>
            <w:r>
              <w:rPr>
                <w:sz w:val="24"/>
              </w:rPr>
              <w:t xml:space="preserve">(наименование организации)</w:t>
            </w:r>
          </w:p>
        </w:tc>
      </w:tr>
      <w:tr>
        <w:tc>
          <w:tcPr>
            <w:gridSpan w:val="6"/>
            <w:tcW w:w="9071" w:type="dxa"/>
            <w:tcBorders>
              <w:top w:val="nil"/>
              <w:left w:val="nil"/>
              <w:bottom w:val="nil"/>
              <w:right w:val="nil"/>
            </w:tcBorders>
          </w:tcPr>
          <w:p>
            <w:pPr>
              <w:pStyle w:val="0"/>
              <w:ind w:firstLine="283"/>
              <w:jc w:val="both"/>
            </w:pPr>
            <w:r>
              <w:rPr>
                <w:sz w:val="24"/>
              </w:rPr>
              <w:t xml:space="preserve">6. Эксплуатация объекта заявителя осуществляется:</w:t>
            </w:r>
          </w:p>
        </w:tc>
      </w:tr>
      <w:tr>
        <w:tc>
          <w:tcPr>
            <w:gridSpan w:val="6"/>
            <w:tcW w:w="9071" w:type="dxa"/>
            <w:tcBorders>
              <w:top w:val="nil"/>
              <w:left w:val="nil"/>
              <w:bottom w:val="single" w:sz="4"/>
              <w:right w:val="nil"/>
            </w:tcBorders>
          </w:tcPr>
          <w:p>
            <w:pPr>
              <w:pStyle w:val="0"/>
            </w:pPr>
            <w:r>
              <w:rPr>
                <w:sz w:val="24"/>
              </w:rPr>
            </w:r>
          </w:p>
        </w:tc>
      </w:tr>
      <w:tr>
        <w:tc>
          <w:tcPr>
            <w:gridSpan w:val="6"/>
            <w:tcW w:w="9071" w:type="dxa"/>
            <w:tcBorders>
              <w:top w:val="single" w:sz="4"/>
              <w:left w:val="nil"/>
              <w:bottom w:val="nil"/>
              <w:right w:val="nil"/>
            </w:tcBorders>
          </w:tcPr>
          <w:p>
            <w:pPr>
              <w:pStyle w:val="0"/>
              <w:jc w:val="center"/>
            </w:pPr>
            <w:r>
              <w:rPr>
                <w:sz w:val="24"/>
              </w:rPr>
              <w:t xml:space="preserve">(наименование эксплуатирующей организации)</w:t>
            </w:r>
          </w:p>
        </w:tc>
      </w:tr>
      <w:tr>
        <w:tc>
          <w:tcPr>
            <w:gridSpan w:val="6"/>
            <w:tcW w:w="9071" w:type="dxa"/>
            <w:tcBorders>
              <w:top w:val="nil"/>
              <w:left w:val="nil"/>
              <w:bottom w:val="nil"/>
              <w:right w:val="nil"/>
            </w:tcBorders>
          </w:tcPr>
          <w:p>
            <w:pPr>
              <w:pStyle w:val="0"/>
              <w:ind w:firstLine="283"/>
              <w:jc w:val="both"/>
            </w:pPr>
            <w:r>
              <w:rPr>
                <w:sz w:val="24"/>
              </w:rPr>
              <w:t xml:space="preserve">7. Ответственный за электрохозяйство (лицо, ответственное за исправное состояние и безопасную эксплуатацию, или должностное лицо, на которое возложены функции по организации технического и оперативного обслуживания) и (или) ответственный за исправное состояние и безопасную эксплуатацию тепловых энергоустановок </w:t>
            </w:r>
            <w:hyperlink w:history="0" w:anchor="P717" w:tooltip="&lt;7&gt; Подчеркивается в соответствии с видом объекта, допускаемого в эксплуатацию.">
              <w:r>
                <w:rPr>
                  <w:sz w:val="24"/>
                  <w:color w:val="0000ff"/>
                </w:rPr>
                <w:t xml:space="preserve">&lt;7&gt;</w:t>
              </w:r>
            </w:hyperlink>
            <w:r>
              <w:rPr>
                <w:sz w:val="24"/>
              </w:rPr>
              <w:t xml:space="preserve">:</w:t>
            </w:r>
          </w:p>
        </w:tc>
      </w:tr>
      <w:tr>
        <w:tc>
          <w:tcPr>
            <w:gridSpan w:val="6"/>
            <w:tcW w:w="9071" w:type="dxa"/>
            <w:tcBorders>
              <w:top w:val="nil"/>
              <w:left w:val="nil"/>
              <w:bottom w:val="single" w:sz="4"/>
              <w:right w:val="nil"/>
            </w:tcBorders>
          </w:tcPr>
          <w:p>
            <w:pPr>
              <w:pStyle w:val="0"/>
            </w:pPr>
            <w:r>
              <w:rPr>
                <w:sz w:val="24"/>
              </w:rPr>
            </w:r>
          </w:p>
        </w:tc>
      </w:tr>
      <w:tr>
        <w:tc>
          <w:tcPr>
            <w:gridSpan w:val="6"/>
            <w:tcW w:w="9071" w:type="dxa"/>
            <w:tcBorders>
              <w:top w:val="single" w:sz="4"/>
              <w:left w:val="nil"/>
              <w:bottom w:val="nil"/>
              <w:right w:val="nil"/>
            </w:tcBorders>
          </w:tcPr>
          <w:p>
            <w:pPr>
              <w:pStyle w:val="0"/>
              <w:jc w:val="center"/>
            </w:pPr>
            <w:r>
              <w:rPr>
                <w:sz w:val="24"/>
              </w:rPr>
              <w:t xml:space="preserve">(ф.и.о., должность)</w:t>
            </w:r>
          </w:p>
        </w:tc>
      </w:tr>
      <w:tr>
        <w:tc>
          <w:tcPr>
            <w:gridSpan w:val="6"/>
            <w:tcW w:w="9071" w:type="dxa"/>
            <w:tcBorders>
              <w:top w:val="nil"/>
              <w:left w:val="nil"/>
              <w:bottom w:val="nil"/>
              <w:right w:val="nil"/>
            </w:tcBorders>
          </w:tcPr>
          <w:p>
            <w:pPr>
              <w:pStyle w:val="0"/>
              <w:jc w:val="both"/>
            </w:pPr>
            <w:r>
              <w:rPr>
                <w:sz w:val="24"/>
              </w:rPr>
              <w:t xml:space="preserve">прошел проверку знаний:</w:t>
            </w:r>
          </w:p>
        </w:tc>
      </w:tr>
      <w:tr>
        <w:tc>
          <w:tcPr>
            <w:gridSpan w:val="6"/>
            <w:tcW w:w="9071" w:type="dxa"/>
            <w:tcBorders>
              <w:top w:val="nil"/>
              <w:left w:val="nil"/>
              <w:bottom w:val="single" w:sz="4"/>
              <w:right w:val="nil"/>
            </w:tcBorders>
          </w:tcPr>
          <w:p>
            <w:pPr>
              <w:pStyle w:val="0"/>
            </w:pPr>
            <w:r>
              <w:rPr>
                <w:sz w:val="24"/>
              </w:rPr>
            </w:r>
          </w:p>
        </w:tc>
      </w:tr>
      <w:tr>
        <w:tc>
          <w:tcPr>
            <w:gridSpan w:val="6"/>
            <w:tcW w:w="9071" w:type="dxa"/>
            <w:tcBorders>
              <w:top w:val="single" w:sz="4"/>
              <w:left w:val="nil"/>
              <w:bottom w:val="nil"/>
              <w:right w:val="nil"/>
            </w:tcBorders>
          </w:tcPr>
          <w:p>
            <w:pPr>
              <w:pStyle w:val="0"/>
              <w:jc w:val="center"/>
            </w:pPr>
            <w:r>
              <w:rPr>
                <w:sz w:val="24"/>
              </w:rPr>
              <w:t xml:space="preserve">(приказ о назначении (номер, дата)</w:t>
            </w:r>
          </w:p>
        </w:tc>
      </w:tr>
      <w:tr>
        <w:tc>
          <w:tcPr>
            <w:gridSpan w:val="6"/>
            <w:tcW w:w="9071" w:type="dxa"/>
            <w:tcBorders>
              <w:top w:val="nil"/>
              <w:left w:val="nil"/>
              <w:bottom w:val="nil"/>
              <w:right w:val="nil"/>
            </w:tcBorders>
          </w:tcPr>
          <w:p>
            <w:pPr>
              <w:pStyle w:val="0"/>
              <w:ind w:firstLine="283"/>
              <w:jc w:val="both"/>
            </w:pPr>
            <w:r>
              <w:rPr>
                <w:sz w:val="24"/>
              </w:rPr>
              <w:t xml:space="preserve">8. Результаты осмотра допускаемого объекта:</w:t>
            </w:r>
          </w:p>
          <w:p>
            <w:pPr>
              <w:pStyle w:val="0"/>
              <w:ind w:firstLine="283"/>
              <w:jc w:val="both"/>
            </w:pPr>
            <w:r>
              <w:rPr>
                <w:sz w:val="24"/>
              </w:rPr>
              <w:t xml:space="preserve">Соответствие представленного заявителем объекта требованиям, установленным нормативными правовыми актами, предусмотренными </w:t>
            </w:r>
            <w:hyperlink w:history="0"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третьим, четвертым, шестым и седьмым пункта 2 статьи 28 Федерального закона &quot;Об электроэнергетике&quot;, и требованиям безопасности в сфере теплоснабжения, установленным в соответствии с пунктами 1 и 2 статьи 23.2 Федерального закона &quot;О теплоснабжении&quot;.">
              <w:r>
                <w:rPr>
                  <w:sz w:val="24"/>
                  <w:color w:val="0000ff"/>
                </w:rPr>
                <w:t xml:space="preserve">пунктом 24</w:t>
              </w:r>
            </w:hyperlink>
            <w:r>
              <w:rPr>
                <w:sz w:val="24"/>
              </w:rPr>
              <w:t xml:space="preserve">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утвержденных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 ______________</w:t>
            </w:r>
          </w:p>
        </w:tc>
      </w:tr>
      <w:tr>
        <w:tc>
          <w:tcPr>
            <w:gridSpan w:val="6"/>
            <w:tcW w:w="9071" w:type="dxa"/>
            <w:tcBorders>
              <w:top w:val="nil"/>
              <w:left w:val="nil"/>
              <w:bottom w:val="single" w:sz="4"/>
              <w:right w:val="nil"/>
            </w:tcBorders>
          </w:tcPr>
          <w:p>
            <w:pPr>
              <w:pStyle w:val="0"/>
            </w:pPr>
            <w:r>
              <w:rPr>
                <w:sz w:val="24"/>
              </w:rPr>
            </w:r>
          </w:p>
        </w:tc>
      </w:tr>
      <w:tr>
        <w:tc>
          <w:tcPr>
            <w:gridSpan w:val="6"/>
            <w:tcW w:w="9071" w:type="dxa"/>
            <w:tcBorders>
              <w:top w:val="single" w:sz="4"/>
              <w:left w:val="nil"/>
              <w:bottom w:val="nil"/>
              <w:right w:val="nil"/>
            </w:tcBorders>
          </w:tcPr>
          <w:p>
            <w:pPr>
              <w:pStyle w:val="0"/>
              <w:jc w:val="center"/>
            </w:pPr>
            <w:r>
              <w:rPr>
                <w:sz w:val="24"/>
              </w:rPr>
              <w:t xml:space="preserve">(соответствует (не соответствует) (указываются выявленные нарушения со ссылкой на соответствующую структурную единицу нормативного правового акта)</w:t>
            </w:r>
          </w:p>
        </w:tc>
      </w:tr>
      <w:tr>
        <w:tc>
          <w:tcPr>
            <w:gridSpan w:val="6"/>
            <w:tcW w:w="9071" w:type="dxa"/>
            <w:tcBorders>
              <w:top w:val="nil"/>
              <w:left w:val="nil"/>
              <w:bottom w:val="nil"/>
              <w:right w:val="nil"/>
            </w:tcBorders>
          </w:tcPr>
          <w:p>
            <w:pPr>
              <w:pStyle w:val="0"/>
              <w:ind w:firstLine="283"/>
              <w:jc w:val="both"/>
            </w:pPr>
            <w:r>
              <w:rPr>
                <w:sz w:val="24"/>
              </w:rPr>
              <w:t xml:space="preserve">Вывод:</w:t>
            </w:r>
          </w:p>
          <w:p>
            <w:pPr>
              <w:pStyle w:val="0"/>
              <w:ind w:firstLine="283"/>
              <w:jc w:val="both"/>
            </w:pPr>
            <w:r>
              <w:rPr>
                <w:sz w:val="24"/>
              </w:rPr>
              <w:t xml:space="preserve">Допускаемый объект соответствует (не соответствует) условиям выдачи разрешения на допуск в эксплуатацию (разрешения на период испытаний и (или) работ) в соответствии с требованиями, установленными нормативными правовыми актами, предусмотренными </w:t>
            </w:r>
            <w:hyperlink w:history="0" w:anchor="P215" w:tooltip="24. Рассмотрение документов и осмотр допускаемого объекта проводятся органом федерального государственного энергетического надзора на предмет соответствия требованиям к обеспечению безопасности в сфере электроэнергетики, установленным в соответствии с абзацами третьим, четвертым, шестым и седьмым пункта 2 статьи 28 Федерального закона &quot;Об электроэнергетике&quot;, и требованиям безопасности в сфере теплоснабжения, установленным в соответствии с пунктами 1 и 2 статьи 23.2 Федерального закона &quot;О теплоснабжении&quot;.">
              <w:r>
                <w:rPr>
                  <w:sz w:val="24"/>
                  <w:color w:val="0000ff"/>
                </w:rPr>
                <w:t xml:space="preserve">пунктом 24</w:t>
              </w:r>
            </w:hyperlink>
            <w:r>
              <w:rPr>
                <w:sz w:val="24"/>
              </w:rPr>
              <w:t xml:space="preserve">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утвержденных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 </w:t>
            </w:r>
            <w:hyperlink w:history="0" w:anchor="P718" w:tooltip="&lt;8&gt; Подчеркивается вид разрешения.">
              <w:r>
                <w:rPr>
                  <w:sz w:val="24"/>
                  <w:color w:val="0000ff"/>
                </w:rPr>
                <w:t xml:space="preserve">&lt;8&gt;</w:t>
              </w:r>
            </w:hyperlink>
            <w:r>
              <w:rPr>
                <w:sz w:val="24"/>
              </w:rPr>
              <w:t xml:space="preserve">.</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6520"/>
      </w:tblGrid>
      <w:tr>
        <w:tc>
          <w:tcPr>
            <w:tcW w:w="6520" w:type="dxa"/>
            <w:tcBorders>
              <w:top w:val="nil"/>
              <w:left w:val="nil"/>
              <w:bottom w:val="nil"/>
              <w:right w:val="nil"/>
            </w:tcBorders>
          </w:tcPr>
          <w:p>
            <w:pPr>
              <w:pStyle w:val="0"/>
              <w:ind w:firstLine="283"/>
              <w:jc w:val="both"/>
            </w:pPr>
            <w:r>
              <w:rPr>
                <w:sz w:val="24"/>
              </w:rPr>
              <w:t xml:space="preserve">Акт действителен до "__" ______________ 20__ г.</w:t>
            </w:r>
          </w:p>
        </w:tc>
      </w:tr>
      <w:tr>
        <w:tc>
          <w:tcPr>
            <w:tcW w:w="6520" w:type="dxa"/>
            <w:tcBorders>
              <w:top w:val="nil"/>
              <w:left w:val="nil"/>
              <w:bottom w:val="nil"/>
              <w:right w:val="nil"/>
            </w:tcBorders>
          </w:tcPr>
          <w:p>
            <w:pPr>
              <w:pStyle w:val="0"/>
              <w:jc w:val="center"/>
            </w:pPr>
            <w:r>
              <w:rPr>
                <w:sz w:val="24"/>
              </w:rPr>
              <w:t xml:space="preserve">(указывается срок действия временного разрешения)</w:t>
            </w:r>
          </w:p>
        </w:tc>
      </w:tr>
    </w:tbl>
    <w:p>
      <w:pPr>
        <w:pStyle w:val="0"/>
        <w:jc w:val="both"/>
      </w:pPr>
      <w:r>
        <w:rPr>
          <w:sz w:val="24"/>
        </w:rPr>
      </w:r>
    </w:p>
    <w:tbl>
      <w:tblPr>
        <w:tblInd w:w="0" w:type="dxa"/>
        <w:tblLayout w:type="fixed"/>
        <w:tblCellMar>
          <w:top w:w="102" w:type="dxa"/>
          <w:left w:w="62" w:type="dxa"/>
          <w:bottom w:w="102" w:type="dxa"/>
          <w:right w:w="62" w:type="dxa"/>
        </w:tblCellMar>
      </w:tblPr>
      <w:tblGrid>
        <w:gridCol w:w="3685"/>
        <w:gridCol w:w="340"/>
        <w:gridCol w:w="2551"/>
        <w:gridCol w:w="340"/>
        <w:gridCol w:w="1800"/>
        <w:gridCol w:w="346"/>
      </w:tblGrid>
      <w:tr>
        <w:tc>
          <w:tcPr>
            <w:tcW w:w="3685" w:type="dxa"/>
            <w:tcBorders>
              <w:top w:val="nil"/>
              <w:left w:val="nil"/>
              <w:bottom w:val="nil"/>
              <w:right w:val="nil"/>
            </w:tcBorders>
            <w:vMerge w:val="restart"/>
          </w:tcPr>
          <w:p>
            <w:pPr>
              <w:pStyle w:val="0"/>
            </w:pPr>
            <w:r>
              <w:rPr>
                <w:sz w:val="24"/>
              </w:rPr>
              <w:t xml:space="preserve">Должностные лица органа федерального государственного энергетического надзора:</w:t>
            </w:r>
          </w:p>
        </w:tc>
        <w:tc>
          <w:tcPr>
            <w:tcW w:w="340" w:type="dxa"/>
            <w:tcBorders>
              <w:top w:val="nil"/>
              <w:left w:val="nil"/>
              <w:bottom w:val="nil"/>
              <w:right w:val="nil"/>
            </w:tcBorders>
          </w:tcPr>
          <w:p>
            <w:pPr>
              <w:pStyle w:val="0"/>
              <w:jc w:val="right"/>
            </w:pPr>
            <w:r>
              <w:rPr>
                <w:sz w:val="24"/>
              </w:rPr>
              <w:t xml:space="preserve">/</w:t>
            </w:r>
          </w:p>
        </w:tc>
        <w:tc>
          <w:tcPr>
            <w:tcW w:w="255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center"/>
            </w:pPr>
            <w:r>
              <w:rPr>
                <w:sz w:val="24"/>
              </w:rPr>
              <w:t xml:space="preserve">/</w:t>
            </w:r>
          </w:p>
        </w:tc>
        <w:tc>
          <w:tcPr>
            <w:tcW w:w="1800" w:type="dxa"/>
            <w:tcBorders>
              <w:top w:val="nil"/>
              <w:left w:val="nil"/>
              <w:bottom w:val="single" w:sz="4"/>
              <w:right w:val="nil"/>
            </w:tcBorders>
          </w:tcPr>
          <w:p>
            <w:pPr>
              <w:pStyle w:val="0"/>
            </w:pPr>
            <w:r>
              <w:rPr>
                <w:sz w:val="24"/>
              </w:rPr>
            </w:r>
          </w:p>
        </w:tc>
        <w:tc>
          <w:tcPr>
            <w:tcW w:w="346" w:type="dxa"/>
            <w:tcBorders>
              <w:top w:val="nil"/>
              <w:left w:val="nil"/>
              <w:bottom w:val="nil"/>
              <w:right w:val="nil"/>
            </w:tcBorders>
          </w:tcPr>
          <w:p>
            <w:pPr>
              <w:pStyle w:val="0"/>
            </w:pPr>
            <w:r>
              <w:rPr>
                <w:sz w:val="24"/>
              </w:rPr>
              <w:t xml:space="preserve">/</w:t>
            </w:r>
          </w:p>
        </w:tc>
      </w:tr>
      <w:tr>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4"/>
              </w:rPr>
            </w:r>
          </w:p>
        </w:tc>
        <w:tc>
          <w:tcPr>
            <w:tcW w:w="2551" w:type="dxa"/>
            <w:tcBorders>
              <w:top w:val="single" w:sz="4"/>
              <w:left w:val="nil"/>
              <w:bottom w:val="nil"/>
              <w:right w:val="nil"/>
            </w:tcBorders>
          </w:tcPr>
          <w:p>
            <w:pPr>
              <w:pStyle w:val="0"/>
              <w:jc w:val="center"/>
            </w:pPr>
            <w:r>
              <w:rPr>
                <w:sz w:val="24"/>
              </w:rPr>
              <w:t xml:space="preserve">(ф.и.о.)</w:t>
            </w:r>
          </w:p>
        </w:tc>
        <w:tc>
          <w:tcPr>
            <w:tcW w:w="340" w:type="dxa"/>
            <w:tcBorders>
              <w:top w:val="nil"/>
              <w:left w:val="nil"/>
              <w:bottom w:val="nil"/>
              <w:right w:val="nil"/>
            </w:tcBorders>
          </w:tcPr>
          <w:p>
            <w:pPr>
              <w:pStyle w:val="0"/>
            </w:pPr>
            <w:r>
              <w:rPr>
                <w:sz w:val="24"/>
              </w:rPr>
            </w:r>
          </w:p>
        </w:tc>
        <w:tc>
          <w:tcPr>
            <w:tcW w:w="1800" w:type="dxa"/>
            <w:tcBorders>
              <w:top w:val="single" w:sz="4"/>
              <w:left w:val="nil"/>
              <w:bottom w:val="nil"/>
              <w:right w:val="nil"/>
            </w:tcBorders>
          </w:tcPr>
          <w:p>
            <w:pPr>
              <w:pStyle w:val="0"/>
              <w:jc w:val="center"/>
            </w:pPr>
            <w:r>
              <w:rPr>
                <w:sz w:val="24"/>
              </w:rPr>
              <w:t xml:space="preserve">(подпись)</w:t>
            </w:r>
          </w:p>
        </w:tc>
        <w:tc>
          <w:tcPr>
            <w:tcW w:w="346" w:type="dxa"/>
            <w:tcBorders>
              <w:top w:val="nil"/>
              <w:left w:val="nil"/>
              <w:bottom w:val="nil"/>
              <w:right w:val="nil"/>
            </w:tcBorders>
          </w:tcPr>
          <w:p>
            <w:pPr>
              <w:pStyle w:val="0"/>
            </w:pPr>
            <w:r>
              <w:rPr>
                <w:sz w:val="24"/>
              </w:rPr>
            </w:r>
          </w:p>
        </w:tc>
      </w:tr>
      <w:tr>
        <w:tc>
          <w:tcPr>
            <w:tcBorders>
              <w:top w:val="nil"/>
              <w:left w:val="nil"/>
              <w:bottom w:val="nil"/>
              <w:right w:val="nil"/>
            </w:tcBorders>
            <w:vMerge w:val="continue"/>
          </w:tcPr>
          <w:p/>
        </w:tc>
        <w:tc>
          <w:tcPr>
            <w:tcW w:w="340" w:type="dxa"/>
            <w:tcBorders>
              <w:top w:val="nil"/>
              <w:left w:val="nil"/>
              <w:bottom w:val="nil"/>
              <w:right w:val="nil"/>
            </w:tcBorders>
          </w:tcPr>
          <w:p>
            <w:pPr>
              <w:pStyle w:val="0"/>
              <w:jc w:val="right"/>
            </w:pPr>
            <w:r>
              <w:rPr>
                <w:sz w:val="24"/>
              </w:rPr>
              <w:t xml:space="preserve">/</w:t>
            </w:r>
          </w:p>
        </w:tc>
        <w:tc>
          <w:tcPr>
            <w:tcW w:w="255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center"/>
            </w:pPr>
            <w:r>
              <w:rPr>
                <w:sz w:val="24"/>
              </w:rPr>
              <w:t xml:space="preserve">/</w:t>
            </w:r>
          </w:p>
        </w:tc>
        <w:tc>
          <w:tcPr>
            <w:tcW w:w="1800" w:type="dxa"/>
            <w:tcBorders>
              <w:top w:val="nil"/>
              <w:left w:val="nil"/>
              <w:bottom w:val="single" w:sz="4"/>
              <w:right w:val="nil"/>
            </w:tcBorders>
          </w:tcPr>
          <w:p>
            <w:pPr>
              <w:pStyle w:val="0"/>
            </w:pPr>
            <w:r>
              <w:rPr>
                <w:sz w:val="24"/>
              </w:rPr>
            </w:r>
          </w:p>
        </w:tc>
        <w:tc>
          <w:tcPr>
            <w:tcW w:w="346" w:type="dxa"/>
            <w:tcBorders>
              <w:top w:val="nil"/>
              <w:left w:val="nil"/>
              <w:bottom w:val="nil"/>
              <w:right w:val="nil"/>
            </w:tcBorders>
          </w:tcPr>
          <w:p>
            <w:pPr>
              <w:pStyle w:val="0"/>
            </w:pPr>
            <w:r>
              <w:rPr>
                <w:sz w:val="24"/>
              </w:rPr>
              <w:t xml:space="preserve">/</w:t>
            </w:r>
          </w:p>
        </w:tc>
      </w:tr>
      <w:tr>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4"/>
              </w:rPr>
            </w:r>
          </w:p>
        </w:tc>
        <w:tc>
          <w:tcPr>
            <w:tcW w:w="2551" w:type="dxa"/>
            <w:tcBorders>
              <w:top w:val="single" w:sz="4"/>
              <w:left w:val="nil"/>
              <w:bottom w:val="nil"/>
              <w:right w:val="nil"/>
            </w:tcBorders>
          </w:tcPr>
          <w:p>
            <w:pPr>
              <w:pStyle w:val="0"/>
              <w:jc w:val="center"/>
            </w:pPr>
            <w:r>
              <w:rPr>
                <w:sz w:val="24"/>
              </w:rPr>
              <w:t xml:space="preserve">(ф.и.о.)</w:t>
            </w:r>
          </w:p>
        </w:tc>
        <w:tc>
          <w:tcPr>
            <w:tcW w:w="340" w:type="dxa"/>
            <w:tcBorders>
              <w:top w:val="nil"/>
              <w:left w:val="nil"/>
              <w:bottom w:val="nil"/>
              <w:right w:val="nil"/>
            </w:tcBorders>
          </w:tcPr>
          <w:p>
            <w:pPr>
              <w:pStyle w:val="0"/>
            </w:pPr>
            <w:r>
              <w:rPr>
                <w:sz w:val="24"/>
              </w:rPr>
            </w:r>
          </w:p>
        </w:tc>
        <w:tc>
          <w:tcPr>
            <w:tcW w:w="1800" w:type="dxa"/>
            <w:tcBorders>
              <w:top w:val="single" w:sz="4"/>
              <w:left w:val="nil"/>
              <w:bottom w:val="nil"/>
              <w:right w:val="nil"/>
            </w:tcBorders>
          </w:tcPr>
          <w:p>
            <w:pPr>
              <w:pStyle w:val="0"/>
              <w:jc w:val="center"/>
            </w:pPr>
            <w:r>
              <w:rPr>
                <w:sz w:val="24"/>
              </w:rPr>
              <w:t xml:space="preserve">(подпись)</w:t>
            </w:r>
          </w:p>
        </w:tc>
        <w:tc>
          <w:tcPr>
            <w:tcW w:w="346" w:type="dxa"/>
            <w:tcBorders>
              <w:top w:val="nil"/>
              <w:left w:val="nil"/>
              <w:bottom w:val="nil"/>
              <w:right w:val="nil"/>
            </w:tcBorders>
          </w:tcPr>
          <w:p>
            <w:pPr>
              <w:pStyle w:val="0"/>
            </w:pPr>
            <w:r>
              <w:rPr>
                <w:sz w:val="24"/>
              </w:rPr>
            </w:r>
          </w:p>
        </w:tc>
      </w:tr>
      <w:tr>
        <w:tc>
          <w:tcPr>
            <w:tcW w:w="3685"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jc w:val="right"/>
            </w:pPr>
            <w:r>
              <w:rPr>
                <w:sz w:val="24"/>
              </w:rPr>
              <w:t xml:space="preserve">/</w:t>
            </w:r>
          </w:p>
        </w:tc>
        <w:tc>
          <w:tcPr>
            <w:tcW w:w="255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center"/>
            </w:pPr>
            <w:r>
              <w:rPr>
                <w:sz w:val="24"/>
              </w:rPr>
              <w:t xml:space="preserve">/</w:t>
            </w:r>
          </w:p>
        </w:tc>
        <w:tc>
          <w:tcPr>
            <w:tcW w:w="1800" w:type="dxa"/>
            <w:tcBorders>
              <w:top w:val="nil"/>
              <w:left w:val="nil"/>
              <w:bottom w:val="single" w:sz="4"/>
              <w:right w:val="nil"/>
            </w:tcBorders>
          </w:tcPr>
          <w:p>
            <w:pPr>
              <w:pStyle w:val="0"/>
            </w:pPr>
            <w:r>
              <w:rPr>
                <w:sz w:val="24"/>
              </w:rPr>
            </w:r>
          </w:p>
        </w:tc>
        <w:tc>
          <w:tcPr>
            <w:tcW w:w="346" w:type="dxa"/>
            <w:tcBorders>
              <w:top w:val="nil"/>
              <w:left w:val="nil"/>
              <w:bottom w:val="nil"/>
              <w:right w:val="nil"/>
            </w:tcBorders>
          </w:tcPr>
          <w:p>
            <w:pPr>
              <w:pStyle w:val="0"/>
            </w:pPr>
            <w:r>
              <w:rPr>
                <w:sz w:val="24"/>
              </w:rPr>
              <w:t xml:space="preserve">/</w:t>
            </w:r>
          </w:p>
        </w:tc>
      </w:tr>
      <w:tr>
        <w:tc>
          <w:tcPr>
            <w:tcW w:w="3685" w:type="dxa"/>
            <w:tcBorders>
              <w:top w:val="nil"/>
              <w:left w:val="nil"/>
              <w:bottom w:val="nil"/>
              <w:right w:val="nil"/>
            </w:tcBorders>
          </w:tcPr>
          <w:p>
            <w:pPr>
              <w:pStyle w:val="0"/>
            </w:pPr>
            <w:r>
              <w:rPr>
                <w:sz w:val="24"/>
              </w:rPr>
            </w:r>
          </w:p>
        </w:tc>
        <w:tc>
          <w:tcPr>
            <w:tcW w:w="340" w:type="dxa"/>
            <w:tcBorders>
              <w:top w:val="nil"/>
              <w:left w:val="nil"/>
              <w:bottom w:val="nil"/>
              <w:right w:val="nil"/>
            </w:tcBorders>
          </w:tcPr>
          <w:p>
            <w:pPr>
              <w:pStyle w:val="0"/>
            </w:pPr>
            <w:r>
              <w:rPr>
                <w:sz w:val="24"/>
              </w:rPr>
            </w:r>
          </w:p>
        </w:tc>
        <w:tc>
          <w:tcPr>
            <w:tcW w:w="2551" w:type="dxa"/>
            <w:tcBorders>
              <w:top w:val="single" w:sz="4"/>
              <w:left w:val="nil"/>
              <w:bottom w:val="nil"/>
              <w:right w:val="nil"/>
            </w:tcBorders>
          </w:tcPr>
          <w:p>
            <w:pPr>
              <w:pStyle w:val="0"/>
              <w:jc w:val="center"/>
            </w:pPr>
            <w:r>
              <w:rPr>
                <w:sz w:val="24"/>
              </w:rPr>
              <w:t xml:space="preserve">(ф.и.о.)</w:t>
            </w:r>
          </w:p>
        </w:tc>
        <w:tc>
          <w:tcPr>
            <w:tcW w:w="340" w:type="dxa"/>
            <w:tcBorders>
              <w:top w:val="nil"/>
              <w:left w:val="nil"/>
              <w:bottom w:val="nil"/>
              <w:right w:val="nil"/>
            </w:tcBorders>
          </w:tcPr>
          <w:p>
            <w:pPr>
              <w:pStyle w:val="0"/>
            </w:pPr>
            <w:r>
              <w:rPr>
                <w:sz w:val="24"/>
              </w:rPr>
            </w:r>
          </w:p>
        </w:tc>
        <w:tc>
          <w:tcPr>
            <w:tcW w:w="1800" w:type="dxa"/>
            <w:tcBorders>
              <w:top w:val="single" w:sz="4"/>
              <w:left w:val="nil"/>
              <w:bottom w:val="nil"/>
              <w:right w:val="nil"/>
            </w:tcBorders>
          </w:tcPr>
          <w:p>
            <w:pPr>
              <w:pStyle w:val="0"/>
              <w:jc w:val="center"/>
            </w:pPr>
            <w:r>
              <w:rPr>
                <w:sz w:val="24"/>
              </w:rPr>
              <w:t xml:space="preserve">(подпись)</w:t>
            </w:r>
          </w:p>
        </w:tc>
        <w:tc>
          <w:tcPr>
            <w:tcW w:w="346" w:type="dxa"/>
            <w:tcBorders>
              <w:top w:val="nil"/>
              <w:left w:val="nil"/>
              <w:bottom w:val="nil"/>
              <w:right w:val="nil"/>
            </w:tcBorders>
          </w:tcPr>
          <w:p>
            <w:pPr>
              <w:pStyle w:val="0"/>
            </w:pPr>
            <w:r>
              <w:rPr>
                <w:sz w:val="24"/>
              </w:rPr>
            </w:r>
          </w:p>
        </w:tc>
      </w:tr>
      <w:tr>
        <w:tc>
          <w:tcPr>
            <w:tcW w:w="3685" w:type="dxa"/>
            <w:tcBorders>
              <w:top w:val="nil"/>
              <w:left w:val="nil"/>
              <w:bottom w:val="nil"/>
              <w:right w:val="nil"/>
            </w:tcBorders>
            <w:vMerge w:val="restart"/>
          </w:tcPr>
          <w:p>
            <w:pPr>
              <w:pStyle w:val="0"/>
            </w:pPr>
            <w:r>
              <w:rPr>
                <w:sz w:val="24"/>
              </w:rPr>
              <w:t xml:space="preserve">Заявитель (законный представитель):</w:t>
            </w:r>
          </w:p>
        </w:tc>
        <w:tc>
          <w:tcPr>
            <w:tcW w:w="340" w:type="dxa"/>
            <w:tcBorders>
              <w:top w:val="nil"/>
              <w:left w:val="nil"/>
              <w:bottom w:val="nil"/>
              <w:right w:val="nil"/>
            </w:tcBorders>
          </w:tcPr>
          <w:p>
            <w:pPr>
              <w:pStyle w:val="0"/>
              <w:jc w:val="right"/>
            </w:pPr>
            <w:r>
              <w:rPr>
                <w:sz w:val="24"/>
              </w:rPr>
              <w:t xml:space="preserve">/</w:t>
            </w:r>
          </w:p>
        </w:tc>
        <w:tc>
          <w:tcPr>
            <w:tcW w:w="2551" w:type="dxa"/>
            <w:tcBorders>
              <w:top w:val="nil"/>
              <w:left w:val="nil"/>
              <w:bottom w:val="single" w:sz="4"/>
              <w:right w:val="nil"/>
            </w:tcBorders>
          </w:tcPr>
          <w:p>
            <w:pPr>
              <w:pStyle w:val="0"/>
            </w:pPr>
            <w:r>
              <w:rPr>
                <w:sz w:val="24"/>
              </w:rPr>
            </w:r>
          </w:p>
        </w:tc>
        <w:tc>
          <w:tcPr>
            <w:tcW w:w="340" w:type="dxa"/>
            <w:tcBorders>
              <w:top w:val="nil"/>
              <w:left w:val="nil"/>
              <w:bottom w:val="nil"/>
              <w:right w:val="nil"/>
            </w:tcBorders>
          </w:tcPr>
          <w:p>
            <w:pPr>
              <w:pStyle w:val="0"/>
              <w:jc w:val="center"/>
            </w:pPr>
            <w:r>
              <w:rPr>
                <w:sz w:val="24"/>
              </w:rPr>
              <w:t xml:space="preserve">/</w:t>
            </w:r>
          </w:p>
        </w:tc>
        <w:tc>
          <w:tcPr>
            <w:tcW w:w="1800" w:type="dxa"/>
            <w:tcBorders>
              <w:top w:val="nil"/>
              <w:left w:val="nil"/>
              <w:bottom w:val="single" w:sz="4"/>
              <w:right w:val="nil"/>
            </w:tcBorders>
          </w:tcPr>
          <w:p>
            <w:pPr>
              <w:pStyle w:val="0"/>
            </w:pPr>
            <w:r>
              <w:rPr>
                <w:sz w:val="24"/>
              </w:rPr>
            </w:r>
          </w:p>
        </w:tc>
        <w:tc>
          <w:tcPr>
            <w:tcW w:w="346" w:type="dxa"/>
            <w:tcBorders>
              <w:top w:val="nil"/>
              <w:left w:val="nil"/>
              <w:bottom w:val="nil"/>
              <w:right w:val="nil"/>
            </w:tcBorders>
          </w:tcPr>
          <w:p>
            <w:pPr>
              <w:pStyle w:val="0"/>
            </w:pPr>
            <w:r>
              <w:rPr>
                <w:sz w:val="24"/>
              </w:rPr>
              <w:t xml:space="preserve">/</w:t>
            </w:r>
          </w:p>
        </w:tc>
      </w:tr>
      <w:tr>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4"/>
              </w:rPr>
            </w:r>
          </w:p>
        </w:tc>
        <w:tc>
          <w:tcPr>
            <w:tcW w:w="2551" w:type="dxa"/>
            <w:tcBorders>
              <w:top w:val="single" w:sz="4"/>
              <w:left w:val="nil"/>
              <w:bottom w:val="nil"/>
              <w:right w:val="nil"/>
            </w:tcBorders>
          </w:tcPr>
          <w:p>
            <w:pPr>
              <w:pStyle w:val="0"/>
              <w:jc w:val="center"/>
            </w:pPr>
            <w:r>
              <w:rPr>
                <w:sz w:val="24"/>
              </w:rPr>
              <w:t xml:space="preserve">(ф.и.о.)</w:t>
            </w:r>
          </w:p>
        </w:tc>
        <w:tc>
          <w:tcPr>
            <w:tcW w:w="340" w:type="dxa"/>
            <w:tcBorders>
              <w:top w:val="nil"/>
              <w:left w:val="nil"/>
              <w:bottom w:val="nil"/>
              <w:right w:val="nil"/>
            </w:tcBorders>
          </w:tcPr>
          <w:p>
            <w:pPr>
              <w:pStyle w:val="0"/>
            </w:pPr>
            <w:r>
              <w:rPr>
                <w:sz w:val="24"/>
              </w:rPr>
            </w:r>
          </w:p>
        </w:tc>
        <w:tc>
          <w:tcPr>
            <w:tcW w:w="1800" w:type="dxa"/>
            <w:tcBorders>
              <w:top w:val="single" w:sz="4"/>
              <w:left w:val="nil"/>
              <w:bottom w:val="nil"/>
              <w:right w:val="nil"/>
            </w:tcBorders>
          </w:tcPr>
          <w:p>
            <w:pPr>
              <w:pStyle w:val="0"/>
              <w:jc w:val="center"/>
            </w:pPr>
            <w:r>
              <w:rPr>
                <w:sz w:val="24"/>
              </w:rPr>
              <w:t xml:space="preserve">(подпись)</w:t>
            </w:r>
          </w:p>
        </w:tc>
        <w:tc>
          <w:tcPr>
            <w:tcW w:w="346" w:type="dxa"/>
            <w:tcBorders>
              <w:top w:val="nil"/>
              <w:left w:val="nil"/>
              <w:bottom w:val="nil"/>
              <w:right w:val="nil"/>
            </w:tcBorders>
          </w:tcPr>
          <w:p>
            <w:pPr>
              <w:pStyle w:val="0"/>
            </w:pPr>
            <w:r>
              <w:rPr>
                <w:sz w:val="24"/>
              </w:rPr>
            </w:r>
          </w:p>
        </w:tc>
      </w:tr>
    </w:tbl>
    <w:p>
      <w:pPr>
        <w:pStyle w:val="0"/>
        <w:jc w:val="both"/>
      </w:pPr>
      <w:r>
        <w:rPr>
          <w:sz w:val="24"/>
        </w:rPr>
      </w:r>
    </w:p>
    <w:p>
      <w:pPr>
        <w:pStyle w:val="0"/>
        <w:ind w:firstLine="540"/>
        <w:jc w:val="both"/>
      </w:pPr>
      <w:r>
        <w:rPr>
          <w:sz w:val="24"/>
        </w:rPr>
        <w:t xml:space="preserve">--------------------------------</w:t>
      </w:r>
    </w:p>
    <w:bookmarkStart w:id="711" w:name="P711"/>
    <w:bookmarkEnd w:id="711"/>
    <w:p>
      <w:pPr>
        <w:pStyle w:val="0"/>
        <w:spacing w:before="240" w:line-rule="auto"/>
        <w:ind w:firstLine="540"/>
        <w:jc w:val="both"/>
      </w:pPr>
      <w:r>
        <w:rPr>
          <w:sz w:val="24"/>
        </w:rPr>
        <w:t xml:space="preserve">&lt;1&gt; Для юридических лиц (для индивидуальных предпринимателей указывается ф.и.о. индивидуального предпринимателя).</w:t>
      </w:r>
    </w:p>
    <w:bookmarkStart w:id="712" w:name="P712"/>
    <w:bookmarkEnd w:id="712"/>
    <w:p>
      <w:pPr>
        <w:pStyle w:val="0"/>
        <w:spacing w:before="240" w:line-rule="auto"/>
        <w:ind w:firstLine="540"/>
        <w:jc w:val="both"/>
      </w:pPr>
      <w:r>
        <w:rPr>
          <w:sz w:val="24"/>
        </w:rPr>
        <w:t xml:space="preserve">&lt;2&gt; Для физических лиц.</w:t>
      </w:r>
    </w:p>
    <w:bookmarkStart w:id="713" w:name="P713"/>
    <w:bookmarkEnd w:id="713"/>
    <w:p>
      <w:pPr>
        <w:pStyle w:val="0"/>
        <w:spacing w:before="240" w:line-rule="auto"/>
        <w:ind w:firstLine="540"/>
        <w:jc w:val="both"/>
      </w:pPr>
      <w:r>
        <w:rPr>
          <w:sz w:val="24"/>
        </w:rPr>
        <w:t xml:space="preserve">&lt;3&gt; Подчеркивается вид объекта, допускаемого в эксплуатацию.</w:t>
      </w:r>
    </w:p>
    <w:bookmarkStart w:id="714" w:name="P714"/>
    <w:bookmarkEnd w:id="714"/>
    <w:p>
      <w:pPr>
        <w:pStyle w:val="0"/>
        <w:spacing w:before="240" w:line-rule="auto"/>
        <w:ind w:firstLine="540"/>
        <w:jc w:val="both"/>
      </w:pPr>
      <w:r>
        <w:rPr>
          <w:sz w:val="24"/>
        </w:rPr>
        <w:t xml:space="preserve">&lt;4&gt; Указывается наименование допускаемого объекта, в том числе диспетчерское.</w:t>
      </w:r>
    </w:p>
    <w:bookmarkStart w:id="715" w:name="P715"/>
    <w:bookmarkEnd w:id="715"/>
    <w:p>
      <w:pPr>
        <w:pStyle w:val="0"/>
        <w:spacing w:before="240" w:line-rule="auto"/>
        <w:ind w:firstLine="540"/>
        <w:jc w:val="both"/>
      </w:pPr>
      <w:r>
        <w:rPr>
          <w:sz w:val="24"/>
        </w:rPr>
        <w:t xml:space="preserve">&lt;5&gt; Указывается перечень осмотренного оборудования допускаемого объекта с указанием типа, максимальной мощности, напряжения, скорости вращения, рабочего давления, температуры, вместимости сосудов, протяженности кабельных и воздушных линий электропередачи, тепловых сетей, количества опор, марки и сечения кабеля (провода), диаметра трубопроводов.</w:t>
      </w:r>
    </w:p>
    <w:bookmarkStart w:id="716" w:name="P716"/>
    <w:bookmarkEnd w:id="716"/>
    <w:p>
      <w:pPr>
        <w:pStyle w:val="0"/>
        <w:spacing w:before="240" w:line-rule="auto"/>
        <w:ind w:firstLine="540"/>
        <w:jc w:val="both"/>
      </w:pPr>
      <w:r>
        <w:rPr>
          <w:sz w:val="24"/>
        </w:rPr>
        <w:t xml:space="preserve">&lt;6&gt; Указывается для энергопринимающих и теплопотребляющих установок потребителей электрической и тепловой энергии.</w:t>
      </w:r>
    </w:p>
    <w:bookmarkStart w:id="717" w:name="P717"/>
    <w:bookmarkEnd w:id="717"/>
    <w:p>
      <w:pPr>
        <w:pStyle w:val="0"/>
        <w:spacing w:before="240" w:line-rule="auto"/>
        <w:ind w:firstLine="540"/>
        <w:jc w:val="both"/>
      </w:pPr>
      <w:r>
        <w:rPr>
          <w:sz w:val="24"/>
        </w:rPr>
        <w:t xml:space="preserve">&lt;7&gt; Подчеркивается в соответствии с видом объекта, допускаемого в эксплуатацию.</w:t>
      </w:r>
    </w:p>
    <w:bookmarkStart w:id="718" w:name="P718"/>
    <w:bookmarkEnd w:id="718"/>
    <w:p>
      <w:pPr>
        <w:pStyle w:val="0"/>
        <w:spacing w:before="240" w:line-rule="auto"/>
        <w:ind w:firstLine="540"/>
        <w:jc w:val="both"/>
      </w:pPr>
      <w:r>
        <w:rPr>
          <w:sz w:val="24"/>
        </w:rPr>
        <w:t xml:space="preserve">&lt;8&gt; Подчеркивается вид разрешения.</w:t>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jc w:val="both"/>
      </w:pPr>
      <w:r>
        <w:rPr>
          <w:sz w:val="24"/>
        </w:rPr>
      </w:r>
    </w:p>
    <w:p>
      <w:pPr>
        <w:pStyle w:val="0"/>
        <w:outlineLvl w:val="0"/>
        <w:jc w:val="right"/>
      </w:pPr>
      <w:r>
        <w:rPr>
          <w:sz w:val="24"/>
        </w:rPr>
        <w:t xml:space="preserve">Утверждены</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30 января 2021 г. N 85</w:t>
      </w:r>
    </w:p>
    <w:p>
      <w:pPr>
        <w:pStyle w:val="0"/>
        <w:jc w:val="both"/>
      </w:pPr>
      <w:r>
        <w:rPr>
          <w:sz w:val="24"/>
        </w:rPr>
      </w:r>
    </w:p>
    <w:bookmarkStart w:id="729" w:name="P729"/>
    <w:bookmarkEnd w:id="729"/>
    <w:p>
      <w:pPr>
        <w:pStyle w:val="2"/>
        <w:jc w:val="center"/>
      </w:pPr>
      <w:r>
        <w:rPr>
          <w:sz w:val="24"/>
        </w:rPr>
        <w:t xml:space="preserve">ИЗМЕНЕНИЯ,</w:t>
      </w:r>
    </w:p>
    <w:p>
      <w:pPr>
        <w:pStyle w:val="2"/>
        <w:jc w:val="center"/>
      </w:pPr>
      <w:r>
        <w:rPr>
          <w:sz w:val="24"/>
        </w:rPr>
        <w:t xml:space="preserve">КОТОРЫЕ ВНОСЯТСЯ В АКТЫ ПРАВИТЕЛЬСТВА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30.11.2021 </w:t>
            </w:r>
            <w:hyperlink w:history="0" r:id="rId89"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4"/>
                  <w:color w:val="0000ff"/>
                </w:rPr>
                <w:t xml:space="preserve">N 2115</w:t>
              </w:r>
            </w:hyperlink>
            <w:r>
              <w:rPr>
                <w:sz w:val="24"/>
                <w:color w:val="392c69"/>
              </w:rPr>
              <w:t xml:space="preserve">,</w:t>
            </w:r>
          </w:p>
          <w:p>
            <w:pPr>
              <w:pStyle w:val="0"/>
              <w:jc w:val="center"/>
            </w:pPr>
            <w:r>
              <w:rPr>
                <w:sz w:val="24"/>
                <w:color w:val="392c69"/>
              </w:rPr>
              <w:t xml:space="preserve">от 25.12.2021 </w:t>
            </w:r>
            <w:hyperlink w:history="0" r:id="rId90" w:tooltip="Постановление Правительства РФ от 25.12.2021 N 2490 (ред. от 25.12.2023) &quo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 ------------ Утратил силу или отменен {КонсультантПлюс}">
              <w:r>
                <w:rPr>
                  <w:sz w:val="24"/>
                  <w:color w:val="0000ff"/>
                </w:rPr>
                <w:t xml:space="preserve">N 2490</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4"/>
        </w:rPr>
      </w:r>
    </w:p>
    <w:p>
      <w:pPr>
        <w:pStyle w:val="0"/>
        <w:ind w:firstLine="540"/>
        <w:jc w:val="both"/>
      </w:pPr>
      <w:r>
        <w:rPr>
          <w:sz w:val="24"/>
        </w:rPr>
        <w:t xml:space="preserve">1. В </w:t>
      </w:r>
      <w:hyperlink w:history="0" r:id="rId91" w:tooltip="Постановление Правительства РФ от 27.12.2004 N 861 (ред. от 21.12.2020)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 Недействующая редакция {КонсультантПлюс}">
        <w:r>
          <w:rPr>
            <w:sz w:val="24"/>
            <w:color w:val="0000ff"/>
          </w:rPr>
          <w:t xml:space="preserve">подпункте "г" пункта 7</w:t>
        </w:r>
      </w:hyperlink>
      <w:r>
        <w:rPr>
          <w:sz w:val="24"/>
        </w:rPr>
        <w:t xml:space="preserve">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2017, N 20, ст. 2927), слова "на допуск в эксплуатацию объектов заявителя" заменить словами "в соответствии с Правилами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утвержденными постановлением Правительства Российской Федерации от 30 января 2021 г. N 85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внесении изменений в некоторые акты Правительства Российской Федерации".</w:t>
      </w:r>
    </w:p>
    <w:p>
      <w:pPr>
        <w:pStyle w:val="0"/>
        <w:spacing w:before="240" w:line-rule="auto"/>
        <w:ind w:firstLine="540"/>
        <w:jc w:val="both"/>
      </w:pPr>
      <w:r>
        <w:rPr>
          <w:sz w:val="24"/>
        </w:rPr>
        <w:t xml:space="preserve">2 - 4. Утратили силу с 1 марта 2022 года. - </w:t>
      </w:r>
      <w:hyperlink w:history="0" r:id="rId92" w:tooltip="Постановление Правительства РФ от 25.12.2021 N 2490 (ред. от 25.12.2023) &quo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 ------------ Утратил силу или отменен {КонсультантПлюс}">
        <w:r>
          <w:rPr>
            <w:sz w:val="24"/>
            <w:color w:val="0000ff"/>
          </w:rPr>
          <w:t xml:space="preserve">Постановление</w:t>
        </w:r>
      </w:hyperlink>
      <w:r>
        <w:rPr>
          <w:sz w:val="24"/>
        </w:rPr>
        <w:t xml:space="preserve"> Правительства РФ от 25.12.2021 N 2490.</w:t>
      </w:r>
    </w:p>
    <w:p>
      <w:pPr>
        <w:pStyle w:val="0"/>
        <w:spacing w:before="240" w:line-rule="auto"/>
        <w:ind w:firstLine="540"/>
        <w:jc w:val="both"/>
      </w:pPr>
      <w:r>
        <w:rPr>
          <w:sz w:val="24"/>
        </w:rPr>
        <w:t xml:space="preserve">5. Утратил силу с 1 марта 2022 года. - </w:t>
      </w:r>
      <w:hyperlink w:history="0" r:id="rId93" w:tooltip="Постановление Правительства РФ от 30.11.2021 N 2115 (ред. от 17.10.2024) &quot;Об утверждении Правил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 недискриминационного доступа к услугам по передаче тепловой энергии, теплоносителя, а также об изменении и признании утратившими силу некоторых актов Правительства Российской Федерации и отдельных положений  {КонсультантПлюс}">
        <w:r>
          <w:rPr>
            <w:sz w:val="24"/>
            <w:color w:val="0000ff"/>
          </w:rPr>
          <w:t xml:space="preserve">Постановление</w:t>
        </w:r>
      </w:hyperlink>
      <w:r>
        <w:rPr>
          <w:sz w:val="24"/>
        </w:rPr>
        <w:t xml:space="preserve"> Правительства РФ от 30.11.2021 N 2115.</w:t>
      </w:r>
    </w:p>
    <w:p>
      <w:pPr>
        <w:pStyle w:val="0"/>
        <w:jc w:val="both"/>
      </w:pPr>
      <w:r>
        <w:rPr>
          <w:sz w:val="24"/>
        </w:rPr>
      </w:r>
    </w:p>
    <w:p>
      <w:pPr>
        <w:pStyle w:val="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30.01.2021 N 85</w:t>
            <w:br/>
            <w:t>(ред. от 04.12.2024)</w:t>
            <w:br/>
            <w:t>"Об утверждении Правил выдачи разрешений на допус...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399186&amp;date=31.03.2025&amp;dst=100005&amp;field=134" TargetMode = "External"/>
	<Relationship Id="rId8" Type="http://schemas.openxmlformats.org/officeDocument/2006/relationships/hyperlink" Target="https://login.consultant.ru/link/?req=doc&amp;base=LAW&amp;n=484541&amp;date=31.03.2025&amp;dst=100013&amp;field=134" TargetMode = "External"/>
	<Relationship Id="rId9" Type="http://schemas.openxmlformats.org/officeDocument/2006/relationships/hyperlink" Target="https://login.consultant.ru/link/?req=doc&amp;base=LAW&amp;n=466715&amp;date=31.03.2025&amp;dst=104184&amp;field=134" TargetMode = "External"/>
	<Relationship Id="rId10" Type="http://schemas.openxmlformats.org/officeDocument/2006/relationships/hyperlink" Target="https://login.consultant.ru/link/?req=doc&amp;base=LAW&amp;n=470951&amp;date=31.03.2025&amp;dst=100072&amp;field=134" TargetMode = "External"/>
	<Relationship Id="rId11" Type="http://schemas.openxmlformats.org/officeDocument/2006/relationships/hyperlink" Target="https://login.consultant.ru/link/?req=doc&amp;base=LAW&amp;n=492493&amp;date=31.03.2025&amp;dst=100005&amp;field=134" TargetMode = "External"/>
	<Relationship Id="rId12" Type="http://schemas.openxmlformats.org/officeDocument/2006/relationships/hyperlink" Target="https://login.consultant.ru/link/?req=doc&amp;base=LAW&amp;n=483415&amp;date=31.03.2025&amp;dst=396&amp;field=134" TargetMode = "External"/>
	<Relationship Id="rId13" Type="http://schemas.openxmlformats.org/officeDocument/2006/relationships/hyperlink" Target="https://login.consultant.ru/link/?req=doc&amp;base=LAW&amp;n=483239&amp;date=31.03.2025&amp;dst=302&amp;field=134" TargetMode = "External"/>
	<Relationship Id="rId14" Type="http://schemas.openxmlformats.org/officeDocument/2006/relationships/hyperlink" Target="https://login.consultant.ru/link/?req=doc&amp;base=LAW&amp;n=399186&amp;date=31.03.2025&amp;dst=100005&amp;field=134" TargetMode = "External"/>
	<Relationship Id="rId15" Type="http://schemas.openxmlformats.org/officeDocument/2006/relationships/hyperlink" Target="https://login.consultant.ru/link/?req=doc&amp;base=LAW&amp;n=470951&amp;date=31.03.2025&amp;dst=100072&amp;field=134" TargetMode = "External"/>
	<Relationship Id="rId16" Type="http://schemas.openxmlformats.org/officeDocument/2006/relationships/hyperlink" Target="https://login.consultant.ru/link/?req=doc&amp;base=LAW&amp;n=492493&amp;date=31.03.2025&amp;dst=100005&amp;field=134" TargetMode = "External"/>
	<Relationship Id="rId17" Type="http://schemas.openxmlformats.org/officeDocument/2006/relationships/hyperlink" Target="https://login.consultant.ru/link/?req=doc&amp;base=LAW&amp;n=492493&amp;date=31.03.2025&amp;dst=100010&amp;field=134" TargetMode = "External"/>
	<Relationship Id="rId18" Type="http://schemas.openxmlformats.org/officeDocument/2006/relationships/hyperlink" Target="https://login.consultant.ru/link/?req=doc&amp;base=LAW&amp;n=495192&amp;date=31.03.2025&amp;dst=100776&amp;field=134" TargetMode = "External"/>
	<Relationship Id="rId19" Type="http://schemas.openxmlformats.org/officeDocument/2006/relationships/hyperlink" Target="https://login.consultant.ru/link/?req=doc&amp;base=LAW&amp;n=402206&amp;date=31.03.2025&amp;dst=100017&amp;field=134" TargetMode = "External"/>
	<Relationship Id="rId20" Type="http://schemas.openxmlformats.org/officeDocument/2006/relationships/hyperlink" Target="https://login.consultant.ru/link/?req=doc&amp;base=LAW&amp;n=495192&amp;date=31.03.2025&amp;dst=100776&amp;field=134" TargetMode = "External"/>
	<Relationship Id="rId21" Type="http://schemas.openxmlformats.org/officeDocument/2006/relationships/hyperlink" Target="https://login.consultant.ru/link/?req=doc&amp;base=LAW&amp;n=488463&amp;date=31.03.2025&amp;dst=100011&amp;field=134" TargetMode = "External"/>
	<Relationship Id="rId22" Type="http://schemas.openxmlformats.org/officeDocument/2006/relationships/hyperlink" Target="https://login.consultant.ru/link/?req=doc&amp;base=LAW&amp;n=495192&amp;date=31.03.2025&amp;dst=1896&amp;field=134" TargetMode = "External"/>
	<Relationship Id="rId23" Type="http://schemas.openxmlformats.org/officeDocument/2006/relationships/hyperlink" Target="https://login.consultant.ru/link/?req=doc&amp;base=LAW&amp;n=495192&amp;date=31.03.2025&amp;dst=1846&amp;field=134" TargetMode = "External"/>
	<Relationship Id="rId24" Type="http://schemas.openxmlformats.org/officeDocument/2006/relationships/hyperlink" Target="https://login.consultant.ru/link/?req=doc&amp;base=LAW&amp;n=399186&amp;date=31.03.2025&amp;dst=100010&amp;field=134" TargetMode = "External"/>
	<Relationship Id="rId25" Type="http://schemas.openxmlformats.org/officeDocument/2006/relationships/hyperlink" Target="https://login.consultant.ru/link/?req=doc&amp;base=LAW&amp;n=492493&amp;date=31.03.2025&amp;dst=100014&amp;field=134" TargetMode = "External"/>
	<Relationship Id="rId26" Type="http://schemas.openxmlformats.org/officeDocument/2006/relationships/hyperlink" Target="https://login.consultant.ru/link/?req=doc&amp;base=LAW&amp;n=492493&amp;date=31.03.2025&amp;dst=100017&amp;field=134" TargetMode = "External"/>
	<Relationship Id="rId27" Type="http://schemas.openxmlformats.org/officeDocument/2006/relationships/hyperlink" Target="https://login.consultant.ru/link/?req=doc&amp;base=LAW&amp;n=473074&amp;date=31.03.2025&amp;dst=100013&amp;field=134" TargetMode = "External"/>
	<Relationship Id="rId28" Type="http://schemas.openxmlformats.org/officeDocument/2006/relationships/hyperlink" Target="https://login.consultant.ru/link/?req=doc&amp;base=LAW&amp;n=492493&amp;date=31.03.2025&amp;dst=100020&amp;field=134" TargetMode = "External"/>
	<Relationship Id="rId29" Type="http://schemas.openxmlformats.org/officeDocument/2006/relationships/hyperlink" Target="https://login.consultant.ru/link/?req=doc&amp;base=LAW&amp;n=492493&amp;date=31.03.2025&amp;dst=100022&amp;field=134" TargetMode = "External"/>
	<Relationship Id="rId30" Type="http://schemas.openxmlformats.org/officeDocument/2006/relationships/hyperlink" Target="https://login.consultant.ru/link/?req=doc&amp;base=LAW&amp;n=492493&amp;date=31.03.2025&amp;dst=100023&amp;field=134" TargetMode = "External"/>
	<Relationship Id="rId31" Type="http://schemas.openxmlformats.org/officeDocument/2006/relationships/hyperlink" Target="https://login.consultant.ru/link/?req=doc&amp;base=LAW&amp;n=492493&amp;date=31.03.2025&amp;dst=100024&amp;field=134" TargetMode = "External"/>
	<Relationship Id="rId32" Type="http://schemas.openxmlformats.org/officeDocument/2006/relationships/hyperlink" Target="https://login.consultant.ru/link/?req=doc&amp;base=LAW&amp;n=492493&amp;date=31.03.2025&amp;dst=100026&amp;field=134" TargetMode = "External"/>
	<Relationship Id="rId33" Type="http://schemas.openxmlformats.org/officeDocument/2006/relationships/hyperlink" Target="https://login.consultant.ru/link/?req=doc&amp;base=LAW&amp;n=492493&amp;date=31.03.2025&amp;dst=100027&amp;field=134" TargetMode = "External"/>
	<Relationship Id="rId34" Type="http://schemas.openxmlformats.org/officeDocument/2006/relationships/hyperlink" Target="https://login.consultant.ru/link/?req=doc&amp;base=LAW&amp;n=495192&amp;date=31.03.2025&amp;dst=100776&amp;field=134" TargetMode = "External"/>
	<Relationship Id="rId35" Type="http://schemas.openxmlformats.org/officeDocument/2006/relationships/hyperlink" Target="https://login.consultant.ru/link/?req=doc&amp;base=LAW&amp;n=492493&amp;date=31.03.2025&amp;dst=100028&amp;field=134" TargetMode = "External"/>
	<Relationship Id="rId36" Type="http://schemas.openxmlformats.org/officeDocument/2006/relationships/hyperlink" Target="https://login.consultant.ru/link/?req=doc&amp;base=LAW&amp;n=399186&amp;date=31.03.2025&amp;dst=100016&amp;field=134" TargetMode = "External"/>
	<Relationship Id="rId37" Type="http://schemas.openxmlformats.org/officeDocument/2006/relationships/hyperlink" Target="https://login.consultant.ru/link/?req=doc&amp;base=LAW&amp;n=399186&amp;date=31.03.2025&amp;dst=100018&amp;field=134" TargetMode = "External"/>
	<Relationship Id="rId38" Type="http://schemas.openxmlformats.org/officeDocument/2006/relationships/hyperlink" Target="https://login.consultant.ru/link/?req=doc&amp;base=LAW&amp;n=492493&amp;date=31.03.2025&amp;dst=100030&amp;field=134" TargetMode = "External"/>
	<Relationship Id="rId39" Type="http://schemas.openxmlformats.org/officeDocument/2006/relationships/hyperlink" Target="https://login.consultant.ru/link/?req=doc&amp;base=LAW&amp;n=492493&amp;date=31.03.2025&amp;dst=100031&amp;field=134" TargetMode = "External"/>
	<Relationship Id="rId40" Type="http://schemas.openxmlformats.org/officeDocument/2006/relationships/hyperlink" Target="https://login.consultant.ru/link/?req=doc&amp;base=LAW&amp;n=492493&amp;date=31.03.2025&amp;dst=100034&amp;field=134" TargetMode = "External"/>
	<Relationship Id="rId41" Type="http://schemas.openxmlformats.org/officeDocument/2006/relationships/hyperlink" Target="https://login.consultant.ru/link/?req=doc&amp;base=LAW&amp;n=492493&amp;date=31.03.2025&amp;dst=100035&amp;field=134" TargetMode = "External"/>
	<Relationship Id="rId42" Type="http://schemas.openxmlformats.org/officeDocument/2006/relationships/hyperlink" Target="https://login.consultant.ru/link/?req=doc&amp;base=LAW&amp;n=495192&amp;date=31.03.2025&amp;dst=100776&amp;field=134" TargetMode = "External"/>
	<Relationship Id="rId43" Type="http://schemas.openxmlformats.org/officeDocument/2006/relationships/hyperlink" Target="https://login.consultant.ru/link/?req=doc&amp;base=LAW&amp;n=492493&amp;date=31.03.2025&amp;dst=100036&amp;field=134" TargetMode = "External"/>
	<Relationship Id="rId44" Type="http://schemas.openxmlformats.org/officeDocument/2006/relationships/hyperlink" Target="https://login.consultant.ru/link/?req=doc&amp;base=LAW&amp;n=492493&amp;date=31.03.2025&amp;dst=100038&amp;field=134" TargetMode = "External"/>
	<Relationship Id="rId45" Type="http://schemas.openxmlformats.org/officeDocument/2006/relationships/hyperlink" Target="https://login.consultant.ru/link/?req=doc&amp;base=LAW&amp;n=492493&amp;date=31.03.2025&amp;dst=100039&amp;field=134" TargetMode = "External"/>
	<Relationship Id="rId46" Type="http://schemas.openxmlformats.org/officeDocument/2006/relationships/hyperlink" Target="https://login.consultant.ru/link/?req=doc&amp;base=LAW&amp;n=492493&amp;date=31.03.2025&amp;dst=100042&amp;field=134" TargetMode = "External"/>
	<Relationship Id="rId47" Type="http://schemas.openxmlformats.org/officeDocument/2006/relationships/hyperlink" Target="https://login.consultant.ru/link/?req=doc&amp;base=LAW&amp;n=492493&amp;date=31.03.2025&amp;dst=100043&amp;field=134" TargetMode = "External"/>
	<Relationship Id="rId48" Type="http://schemas.openxmlformats.org/officeDocument/2006/relationships/hyperlink" Target="https://login.consultant.ru/link/?req=doc&amp;base=LAW&amp;n=492493&amp;date=31.03.2025&amp;dst=100044&amp;field=134" TargetMode = "External"/>
	<Relationship Id="rId49" Type="http://schemas.openxmlformats.org/officeDocument/2006/relationships/hyperlink" Target="https://login.consultant.ru/link/?req=doc&amp;base=LAW&amp;n=399186&amp;date=31.03.2025&amp;dst=100019&amp;field=134" TargetMode = "External"/>
	<Relationship Id="rId50" Type="http://schemas.openxmlformats.org/officeDocument/2006/relationships/hyperlink" Target="https://login.consultant.ru/link/?req=doc&amp;base=LAW&amp;n=399186&amp;date=31.03.2025&amp;dst=100021&amp;field=134" TargetMode = "External"/>
	<Relationship Id="rId51" Type="http://schemas.openxmlformats.org/officeDocument/2006/relationships/hyperlink" Target="https://login.consultant.ru/link/?req=doc&amp;base=LAW&amp;n=492493&amp;date=31.03.2025&amp;dst=100046&amp;field=134" TargetMode = "External"/>
	<Relationship Id="rId52" Type="http://schemas.openxmlformats.org/officeDocument/2006/relationships/hyperlink" Target="https://login.consultant.ru/link/?req=doc&amp;base=LAW&amp;n=492493&amp;date=31.03.2025&amp;dst=100047&amp;field=134" TargetMode = "External"/>
	<Relationship Id="rId53" Type="http://schemas.openxmlformats.org/officeDocument/2006/relationships/hyperlink" Target="https://login.consultant.ru/link/?req=doc&amp;base=LAW&amp;n=492493&amp;date=31.03.2025&amp;dst=100049&amp;field=134" TargetMode = "External"/>
	<Relationship Id="rId54" Type="http://schemas.openxmlformats.org/officeDocument/2006/relationships/hyperlink" Target="https://login.consultant.ru/link/?req=doc&amp;base=LAW&amp;n=492493&amp;date=31.03.2025&amp;dst=100050&amp;field=134" TargetMode = "External"/>
	<Relationship Id="rId55" Type="http://schemas.openxmlformats.org/officeDocument/2006/relationships/hyperlink" Target="https://login.consultant.ru/link/?req=doc&amp;base=LAW&amp;n=398869&amp;date=31.03.2025&amp;dst=100010&amp;field=134" TargetMode = "External"/>
	<Relationship Id="rId56" Type="http://schemas.openxmlformats.org/officeDocument/2006/relationships/hyperlink" Target="https://login.consultant.ru/link/?req=doc&amp;base=LAW&amp;n=470951&amp;date=31.03.2025&amp;dst=100075&amp;field=134" TargetMode = "External"/>
	<Relationship Id="rId57" Type="http://schemas.openxmlformats.org/officeDocument/2006/relationships/hyperlink" Target="https://login.consultant.ru/link/?req=doc&amp;base=LAW&amp;n=473074&amp;date=31.03.2025&amp;dst=100013&amp;field=134" TargetMode = "External"/>
	<Relationship Id="rId58" Type="http://schemas.openxmlformats.org/officeDocument/2006/relationships/hyperlink" Target="https://login.consultant.ru/link/?req=doc&amp;base=LAW&amp;n=492493&amp;date=31.03.2025&amp;dst=100051&amp;field=134" TargetMode = "External"/>
	<Relationship Id="rId59" Type="http://schemas.openxmlformats.org/officeDocument/2006/relationships/hyperlink" Target="https://login.consultant.ru/link/?req=doc&amp;base=LAW&amp;n=492493&amp;date=31.03.2025&amp;dst=100065&amp;field=134" TargetMode = "External"/>
	<Relationship Id="rId60" Type="http://schemas.openxmlformats.org/officeDocument/2006/relationships/hyperlink" Target="https://login.consultant.ru/link/?req=doc&amp;base=LAW&amp;n=492493&amp;date=31.03.2025&amp;dst=100067&amp;field=134" TargetMode = "External"/>
	<Relationship Id="rId61" Type="http://schemas.openxmlformats.org/officeDocument/2006/relationships/hyperlink" Target="https://login.consultant.ru/link/?req=doc&amp;base=LAW&amp;n=492493&amp;date=31.03.2025&amp;dst=100069&amp;field=134" TargetMode = "External"/>
	<Relationship Id="rId62" Type="http://schemas.openxmlformats.org/officeDocument/2006/relationships/hyperlink" Target="https://login.consultant.ru/link/?req=doc&amp;base=LAW&amp;n=492493&amp;date=31.03.2025&amp;dst=100071&amp;field=134" TargetMode = "External"/>
	<Relationship Id="rId63" Type="http://schemas.openxmlformats.org/officeDocument/2006/relationships/hyperlink" Target="https://login.consultant.ru/link/?req=doc&amp;base=LAW&amp;n=483415&amp;date=31.03.2025&amp;dst=281&amp;field=134" TargetMode = "External"/>
	<Relationship Id="rId64" Type="http://schemas.openxmlformats.org/officeDocument/2006/relationships/hyperlink" Target="https://login.consultant.ru/link/?req=doc&amp;base=LAW&amp;n=483415&amp;date=31.03.2025&amp;dst=282&amp;field=134" TargetMode = "External"/>
	<Relationship Id="rId65" Type="http://schemas.openxmlformats.org/officeDocument/2006/relationships/hyperlink" Target="https://login.consultant.ru/link/?req=doc&amp;base=LAW&amp;n=483415&amp;date=31.03.2025&amp;dst=284&amp;field=134" TargetMode = "External"/>
	<Relationship Id="rId66" Type="http://schemas.openxmlformats.org/officeDocument/2006/relationships/hyperlink" Target="https://login.consultant.ru/link/?req=doc&amp;base=LAW&amp;n=483415&amp;date=31.03.2025&amp;dst=487&amp;field=134" TargetMode = "External"/>
	<Relationship Id="rId67" Type="http://schemas.openxmlformats.org/officeDocument/2006/relationships/hyperlink" Target="https://login.consultant.ru/link/?req=doc&amp;base=LAW&amp;n=483239&amp;date=31.03.2025&amp;dst=277&amp;field=134" TargetMode = "External"/>
	<Relationship Id="rId68" Type="http://schemas.openxmlformats.org/officeDocument/2006/relationships/hyperlink" Target="https://login.consultant.ru/link/?req=doc&amp;base=LAW&amp;n=483239&amp;date=31.03.2025&amp;dst=305&amp;field=134" TargetMode = "External"/>
	<Relationship Id="rId69" Type="http://schemas.openxmlformats.org/officeDocument/2006/relationships/hyperlink" Target="https://login.consultant.ru/link/?req=doc&amp;base=LAW&amp;n=399186&amp;date=31.03.2025&amp;dst=100023&amp;field=134" TargetMode = "External"/>
	<Relationship Id="rId70" Type="http://schemas.openxmlformats.org/officeDocument/2006/relationships/hyperlink" Target="https://login.consultant.ru/link/?req=doc&amp;base=LAW&amp;n=399186&amp;date=31.03.2025&amp;dst=100025&amp;field=134" TargetMode = "External"/>
	<Relationship Id="rId71" Type="http://schemas.openxmlformats.org/officeDocument/2006/relationships/hyperlink" Target="https://login.consultant.ru/link/?req=doc&amp;base=LAW&amp;n=492493&amp;date=31.03.2025&amp;dst=100074&amp;field=134" TargetMode = "External"/>
	<Relationship Id="rId72" Type="http://schemas.openxmlformats.org/officeDocument/2006/relationships/hyperlink" Target="https://login.consultant.ru/link/?req=doc&amp;base=LAW&amp;n=492493&amp;date=31.03.2025&amp;dst=100076&amp;field=134" TargetMode = "External"/>
	<Relationship Id="rId73" Type="http://schemas.openxmlformats.org/officeDocument/2006/relationships/hyperlink" Target="https://login.consultant.ru/link/?req=doc&amp;base=LAW&amp;n=492493&amp;date=31.03.2025&amp;dst=100079&amp;field=134" TargetMode = "External"/>
	<Relationship Id="rId74" Type="http://schemas.openxmlformats.org/officeDocument/2006/relationships/hyperlink" Target="https://login.consultant.ru/link/?req=doc&amp;base=LAW&amp;n=470951&amp;date=31.03.2025&amp;dst=100078&amp;field=134" TargetMode = "External"/>
	<Relationship Id="rId75" Type="http://schemas.openxmlformats.org/officeDocument/2006/relationships/hyperlink" Target="https://login.consultant.ru/link/?req=doc&amp;base=LAW&amp;n=492493&amp;date=31.03.2025&amp;dst=100081&amp;field=134" TargetMode = "External"/>
	<Relationship Id="rId76" Type="http://schemas.openxmlformats.org/officeDocument/2006/relationships/hyperlink" Target="https://login.consultant.ru/link/?req=doc&amp;base=LAW&amp;n=399186&amp;date=31.03.2025&amp;dst=100028&amp;field=134" TargetMode = "External"/>
	<Relationship Id="rId77" Type="http://schemas.openxmlformats.org/officeDocument/2006/relationships/hyperlink" Target="https://login.consultant.ru/link/?req=doc&amp;base=LAW&amp;n=492493&amp;date=31.03.2025&amp;dst=100082&amp;field=134" TargetMode = "External"/>
	<Relationship Id="rId78" Type="http://schemas.openxmlformats.org/officeDocument/2006/relationships/hyperlink" Target="https://login.consultant.ru/link/?req=doc&amp;base=LAW&amp;n=492493&amp;date=31.03.2025&amp;dst=100084&amp;field=134" TargetMode = "External"/>
	<Relationship Id="rId79" Type="http://schemas.openxmlformats.org/officeDocument/2006/relationships/hyperlink" Target="https://login.consultant.ru/link/?req=doc&amp;base=LAW&amp;n=470951&amp;date=31.03.2025&amp;dst=100080&amp;field=134" TargetMode = "External"/>
	<Relationship Id="rId80" Type="http://schemas.openxmlformats.org/officeDocument/2006/relationships/hyperlink" Target="https://login.consultant.ru/link/?req=doc&amp;base=LAW&amp;n=492493&amp;date=31.03.2025&amp;dst=100086&amp;field=134" TargetMode = "External"/>
	<Relationship Id="rId81" Type="http://schemas.openxmlformats.org/officeDocument/2006/relationships/hyperlink" Target="https://login.consultant.ru/link/?req=doc&amp;base=LAW&amp;n=492493&amp;date=31.03.2025&amp;dst=100088&amp;field=134" TargetMode = "External"/>
	<Relationship Id="rId82" Type="http://schemas.openxmlformats.org/officeDocument/2006/relationships/hyperlink" Target="https://login.consultant.ru/link/?req=doc&amp;base=LAW&amp;n=492493&amp;date=31.03.2025&amp;dst=100089&amp;field=134" TargetMode = "External"/>
	<Relationship Id="rId83" Type="http://schemas.openxmlformats.org/officeDocument/2006/relationships/hyperlink" Target="https://login.consultant.ru/link/?req=doc&amp;base=LAW&amp;n=492493&amp;date=31.03.2025&amp;dst=100090&amp;field=134" TargetMode = "External"/>
	<Relationship Id="rId84" Type="http://schemas.openxmlformats.org/officeDocument/2006/relationships/hyperlink" Target="https://login.consultant.ru/link/?req=doc&amp;base=LAW&amp;n=492493&amp;date=31.03.2025&amp;dst=100098&amp;field=134" TargetMode = "External"/>
	<Relationship Id="rId85" Type="http://schemas.openxmlformats.org/officeDocument/2006/relationships/hyperlink" Target="https://login.consultant.ru/link/?req=doc&amp;base=LAW&amp;n=492493&amp;date=31.03.2025&amp;dst=100099&amp;field=134" TargetMode = "External"/>
	<Relationship Id="rId86" Type="http://schemas.openxmlformats.org/officeDocument/2006/relationships/hyperlink" Target="https://login.consultant.ru/link/?req=doc&amp;base=LAW&amp;n=439185&amp;date=31.03.2025&amp;dst=100129&amp;field=134" TargetMode = "External"/>
	<Relationship Id="rId87" Type="http://schemas.openxmlformats.org/officeDocument/2006/relationships/hyperlink" Target="https://login.consultant.ru/link/?req=doc&amp;base=LAW&amp;n=439185&amp;date=31.03.2025&amp;dst=100252&amp;field=134" TargetMode = "External"/>
	<Relationship Id="rId88" Type="http://schemas.openxmlformats.org/officeDocument/2006/relationships/hyperlink" Target="https://login.consultant.ru/link/?req=doc&amp;base=LAW&amp;n=492493&amp;date=31.03.2025&amp;dst=100138&amp;field=134" TargetMode = "External"/>
	<Relationship Id="rId89" Type="http://schemas.openxmlformats.org/officeDocument/2006/relationships/hyperlink" Target="https://login.consultant.ru/link/?req=doc&amp;base=LAW&amp;n=484541&amp;date=31.03.2025&amp;dst=100013&amp;field=134" TargetMode = "External"/>
	<Relationship Id="rId90" Type="http://schemas.openxmlformats.org/officeDocument/2006/relationships/hyperlink" Target="https://login.consultant.ru/link/?req=doc&amp;base=LAW&amp;n=466715&amp;date=31.03.2025&amp;dst=104184&amp;field=134" TargetMode = "External"/>
	<Relationship Id="rId91" Type="http://schemas.openxmlformats.org/officeDocument/2006/relationships/hyperlink" Target="https://login.consultant.ru/link/?req=doc&amp;base=LAW&amp;n=372113&amp;date=31.03.2025&amp;dst=1890&amp;field=134" TargetMode = "External"/>
	<Relationship Id="rId92" Type="http://schemas.openxmlformats.org/officeDocument/2006/relationships/hyperlink" Target="https://login.consultant.ru/link/?req=doc&amp;base=LAW&amp;n=466715&amp;date=31.03.2025&amp;dst=104184&amp;field=134" TargetMode = "External"/>
	<Relationship Id="rId93" Type="http://schemas.openxmlformats.org/officeDocument/2006/relationships/hyperlink" Target="https://login.consultant.ru/link/?req=doc&amp;base=LAW&amp;n=484541&amp;date=31.03.2025&amp;dst=100013&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30.01.2021 N 85
(ред. от 04.12.2024)
"Об утверждении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и о внесении изменений в некоторые акты Правительства Российской Федерации"</dc:title>
  <dcterms:created xsi:type="dcterms:W3CDTF">2025-03-31T03:47:54Z</dcterms:created>
</cp:coreProperties>
</file>